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91</w:t>
      </w:r>
    </w:p>
    <w:p>
      <w:r>
        <w:t>Bundesgericht (BGE), 1980-01-01, DE</w:t>
      </w:r>
    </w:p>
    <w:p>
      <w:r>
        <w:rPr>
          <w:b/>
        </w:rPr>
        <w:t xml:space="preserve">Quelle: </w:t>
      </w:r>
      <w:r>
        <w:t>https://mcp.opencaselaw.ch/entscheid/bge_BGE_106_V_91</w:t>
      </w:r>
    </w:p>
    <w:p>
      <w:r>
        <w:t>FR: ATF 106 V 91</w:t>
      </w:r>
    </w:p>
    <w:p>
      <w:r>
        <w:t>IT: DTF 106 V 91</w:t>
      </w:r>
    </w:p>
    <w:p>
      <w:pPr>
        <w:pStyle w:val="Heading2"/>
      </w:pPr>
      <w:r>
        <w:t>Regeste</w:t>
      </w:r>
    </w:p>
    <w:p>
      <w:r>
        <w:t>Regeste Art. 128 OG und 5 VwVG. Bei einer Leistungsverfügung ist der Entscheid über die Frage, ob einem Versicherten die halbe Rente als ordentliche oder als Härtefall-Rente gewährt wird, nicht Gegenstand des Dispositivs. Verlangt der Versicherte keine Abänderung des Dispositivs, ist zu prüfen, ob er ein schutzwürdiges Interesse an der sofortigen Feststellung hinsichtlich des angefochtenen Verfügungsbestandteils hat. Art. 28 Abs. 1 und 41 IVG. Bei Wegfall der Härtefall-Rente hat der Versicherte grundsätzlich Anspruch auf Überprüfung der Frage, ob ihm die halbe Rente nicht unter der normalen Voraussetzung einer mindestens hälftigen Invalidität zusteht.</w:t>
      </w:r>
    </w:p>
    <w:p>
      <w:r>
        <w:t>Regeste Art. 128 OJ et 5 PA. La nature de la demi-rente allouée à un assuré (demi-rente ordinaire ou demi-rente pour cas pénible) n'a pas à figurer dans le dispositif de la décision. Lorsque l'assuré ne demande pas une modification de ce dernier, il faut examiner s'il a un intérêt digne de protection à la constatation immédiate du titre auquel la prestation est accordée. Art. 28 al. 1 et 41 LAI. En cas de suppression de la demi-rente pour cas pénible, l'assuré peut en principe exiger qu'on examine s'il n'a pas droit à une demi-rente aux conditions normales, soit à raison d'une invalidité de la moitié au moins.</w:t>
      </w:r>
    </w:p>
    <w:p>
      <w:r>
        <w:t>Regesto Art. 128 OG e 5 PA. Il dire se una mezza rendita sia erogata a titolo ordinario o per caso rigoroso non fa parte del dispositivo di una decisione. Quando un'assicurato non domanda la modificazione del dispositivo bisogna esaminare se esiste un interesse degno di protezione all'accertamento del titolo per cui la prestazione è stata concessa. Art. 28 cpv. 1 e 41 LAI. Nel caso di soppressione della mezza rendita accordata per caso rigoroso, l'assicurato può di principio esigere che si esamini se egli non ha diritto a mezza rendita in condizioni normali e cioè per motivo di un'invalidità pari almeno alla metà.</w:t>
      </w:r>
    </w:p>
    <w:p>
      <w:pPr>
        <w:pStyle w:val="Heading2"/>
      </w:pPr>
      <w:r>
        <w:t>Erwägungen</w:t>
      </w:r>
    </w:p>
    <w:p>
      <w:r>
        <w:rPr>
          <w:b/>
        </w:rPr>
        <w:t>E. 1</w:t>
      </w:r>
    </w:p>
    <w:p>
      <w:r>
        <w:t>Bei einer Verfügung über Versicherungsleistungen bildet grundsätzlich einzig die Leistung Gegenstand des Dispositivs. Die Beantwortung der Frage, welcher Invaliditätsgrad der Rentenzusprechung zugrundegelegt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der Beschwerdeführer allenfalls ein schutzwürdiges Interesse an der sofortigen Feststellung hinsichtlich des angefochtenen Verfügungsbestandteils hat ( BGE 102 V 150 ).</w:t>
      </w:r>
    </w:p>
    <w:p>
      <w:r>
        <w:rPr>
          <w:b/>
        </w:rPr>
        <w:t>E. 2</w:t>
      </w:r>
    </w:p>
    <w:p>
      <w:r>
        <w:t>Mit der Verwaltungsgerichtsbeschwerde beantragt der Beschwerdeführer nicht die Ausrichtung einer ganzen Rente, BGE 106 V 91 S. 93 sondern er möchte lediglich erreichen, dass ihm die halbe Rente als ordentliche anstatt als Härtefall-Rente zugesprochen wird. Da es sich bei der hier zu beurteilenden Verfügung vom 31. Januar 1979 klarerweise um eine Leistungsverfügung handelt und im Begehren des Beschwerdeführers auch kein Antrag auf Abänderung des Dispositivs erblickt werden kann, ist nach dem Gesagten nur zu prüfen, ob der Beschwerdeführer an der sofortigen Feststellung seines Begehrens ein schutzwürdiges Interesse hat. Ein solches würde bestehen, wenn der Beschwerdeführer die Voraussetzungen für den Härtefall in Kürze nicht mehr erfüllen oder wenn er beabsichtigen würde, demnächst die Schweiz zu verlassen. Da keine dieser Möglichkeiten zur Zeit aktuell ist, fehlt es an dem verlangten Rechtsschutzinteresse. Auf die Verwaltungsgerichtsbeschwerde ist daher nicht einzutreten. Es kann jedoch darauf hingewiesen werden, dass der Beschwerdeführer bei Aufhebung der halben Rente zufolge Wegfalls der finanziellen Härte oder zufolge Wegzugs aus der Schweiz Anspruch auf Überprüfung der Frage hat, ob ihm die halbe Rente nicht auch unter der normalen Voraussetzung einer mindestens hälftigen Invalidität zu gewähren ist. Sollte dannzumal diese Frage verneint werden, hat er die Möglichkeit, die Aufhebungsverfügung mit dieser Begründung anzufechten.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