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81</w:t>
      </w:r>
    </w:p>
    <w:p>
      <w:r>
        <w:t>Bundesgericht (BGE), 1980-07-02, DE</w:t>
      </w:r>
    </w:p>
    <w:p>
      <w:r>
        <w:rPr>
          <w:b/>
        </w:rPr>
        <w:t xml:space="preserve">Quelle: </w:t>
      </w:r>
      <w:r>
        <w:t>https://mcp.opencaselaw.ch/entscheid/bge_BGE_106_V_81</w:t>
      </w:r>
    </w:p>
    <w:p>
      <w:r>
        <w:t>FR: ATF 106 V 81</w:t>
      </w:r>
    </w:p>
    <w:p>
      <w:r>
        <w:t>IT: DTF 106 V 81</w:t>
      </w:r>
    </w:p>
    <w:p>
      <w:pPr>
        <w:pStyle w:val="Heading2"/>
      </w:pPr>
      <w:r>
        <w:t>Regeste</w:t>
      </w:r>
    </w:p>
    <w:p>
      <w:r>
        <w:t>Regeste Art. 21 Abs. 2 IVG und Ziff. 15.02 HVI Anhang. Individuelle Abgabe eines kostspieligen Hilfsmittels, wenn ein solches bereits in einem Heim zur Verfügung steht (Präzisierung der Rechtsprechung; hier in bezug auf automatische Schreibgeräte).</w:t>
      </w:r>
    </w:p>
    <w:p>
      <w:r>
        <w:t>Regeste Art. 21 al. 2 LAI et ch. 15.02 OMAI annexe. Remise individuelle d'un appareil coûteux lorsqu'un tel moyen auxiliaire est déjà à disposition dans une institution (précision apportée à la jurisprudence, en l'espèce au sujet de machines à écrire automatiques).</w:t>
      </w:r>
    </w:p>
    <w:p>
      <w:r>
        <w:t>Regesto Art. 21 cpv. 2 LAI e cifra 15.02 OMAI allegato. Consegna singola di un mezzo ausiliario costoso quand'esso è già a disposizione in un istituto (precisazione della giurisprudenza in tema di macchine automatiche per scrivere).</w:t>
      </w:r>
    </w:p>
    <w:p>
      <w:pPr>
        <w:pStyle w:val="Heading2"/>
      </w:pPr>
      <w:r>
        <w:t>Erwägungen</w:t>
      </w:r>
    </w:p>
    <w:p>
      <w:r>
        <w:rPr>
          <w:b/>
        </w:rPr>
        <w:t>E. 1</w:t>
      </w:r>
    </w:p>
    <w:p>
      <w:r>
        <w:t>Gemäss Art. 21 Abs. 2 IVG in Verbindung mit Art. 14 lit. a IVV sowie Art. 2 Abs. 1 HVI und Ziff. 15.02 des Anhangs zur HVI gibt die Invalidenversicherung automatische Schreibgeräte ab, sofern der Versicherte infolge Lähmung sprech- und schreibunfähig ist und nur mit Hilfe eines solchen Gerätes mit der Umwelt in Kontakt treten kann. Kostspielige Hilfsmittel, die ihrer Art nach auch für andere Versicherte Verwendung finden können, werden nur leihweise abgegeben ( Art. 3 HVI ). In BGE 100 V 45 hat das Eidg. Versicherungsgericht festgehalten, dass es nicht Aufgabe der Invalidenversicherung ist, den Insassen von Invalidenheimen kostspielige Hilfsmittel individuell abzugeben, wenn diese zur notwendigen Ausrüstung des betreffenden Heimes gehören. An dieser Rechtsprechung, welche im unveröffentlichten Urteil vom 9. Juni 1978 i.S. Blaser bestätigt wurde, ist grundsätzlich festzuhalten.</w:t>
      </w:r>
    </w:p>
    <w:p>
      <w:r>
        <w:rPr>
          <w:b/>
        </w:rPr>
        <w:t>E. 2</w:t>
      </w:r>
    </w:p>
    <w:p>
      <w:r>
        <w:t>Es muss erwiesen sein, dass das Gerät zu einem grossen Teil für die Pflege des Kontaktes mit der Umwelt, und zwar im Wohnbereich des Versicherten, effektiv Verwendung findet.</w:t>
      </w:r>
    </w:p>
    <w:p>
      <w:r>
        <w:rPr>
          <w:b/>
        </w:rPr>
        <w:t>E. 3</w:t>
      </w:r>
    </w:p>
    <w:p>
      <w:r>
        <w:t>Von der Leitung der jeweiligen Sonderschule müssen verlässliche Angaben über die Intelligenz des Versicherten vorliegen, die einen sinnvollen Einsatz des Gerätes in der Freizeit und einen erheblichen Gewinn an Kontaktmöglichkeiten und damit eine intensive Förderung der geistigen Entwicklung garantieren.</w:t>
      </w:r>
    </w:p>
    <w:p>
      <w:r>
        <w:rPr>
          <w:b/>
        </w:rPr>
        <w:t>E. 4</w:t>
      </w:r>
    </w:p>
    <w:p>
      <w:r>
        <w:t>Es muss mit grosser Wahrscheinlichkeit belegt sein, dass der Versicherte das entsprechende Gerät nach der Schulentlassung weiterhin zur Pflege des Kontaktes mit der Umwelt benützen kann. Damit spricht sich das Bundesamt bei Erfüllen dieser Bedingungen selbst dann für die individuelle Abgabe eines automatischen Schreibgerätes aus, wenn im Rahmen der Sonderschulung ein heimeigenes Gerät an sich bereits zur Verfügung steht. Das Eidg. Versicherungsgericht pflichtet diesen Überlegungen bei. Da in den vom Bundesamt anvisierten Fällen das vorrangige Ziel nicht in der Schulung, sondern in der Pflege des Kontaktes mit der Umwelt im Wohnbereich besteht, handelt es sich nicht um eine "Abgabe an einen Heiminsassen". Die in Erw. 1 hievor erwähnte Rechtsprechung steht unter diesen besonderen Umständen einer individuellen Abgabe eines solchen Hilfsmittels nicht entgegen. b) Laut Bericht der Logopädin des Schulheims Mätteli vom 5. Juli 1979 ist die Beschwerdeführerin im schwersten Grade behindert; sie kann grob- und feinmotorische Bewegungen nicht kontrollieren und ihre Sprache ist für einen Aussenstehenden nicht verständlich; da die Beschwerdeführerin seit Jahren therapeutisch optimal betreut worden sei, könne erfahrungsgemäss mit einer wesentlichen Verbesserung der Situation nicht mehr gerechnet werden. Somit ist davon auszugehen, dass die Beschwerdeführerin im Schulunterricht und bei der Pflege BGE 106 V 81 S. 85 des Kontaktes mit der Umwelt voll und ganz auf ein automatisches Schreibgerät angewiesen ist. Seit Herbst 1977 konnte die Beschwerdeführerin ein heimeigenes Carba-Schreibgerät benützen. Sie wurde in der Zwischenzeit damit vertraut gemacht und in die Handhabung eingeführt. Allein dank dieses Gerätes konnte ihr überhaupt Lesen und Schreiben beigebracht werden. Das Bundesamt für Sozialversicherung stellt deshalb zutreffend fest, die Phase der Ausbildung und des Trainings am Gerät könne als abgeschlossen betrachtet werden; weiterer Anleitung bedürfe die Beschwerdeführerin nicht. Dem Bericht der Logopädin lässt sich ferner entnehmen, dass die Beschwerdeführerin über eine gut entwickelte intellektuelle Leistungsfähigkeit verfügt; insbesondere im sprachlichen (schriftlichen) Bereich seien ihre Leistungen mit denen eines nicht behinderten Kindes unbedingt vergleichbar; die Beschwerdeführerin verfüge über einen grossen Wortschatz, über ein gut entwickeltes Sprachverständnis und auch über ein erstaunliches Sprachgefühl, weshalb es ihr möglich sei, mit Hilfe des Schreibgerätes sich klar zu verständigen und mit gleichaltrigen Kindern dem Schulunterricht zu folgen. Mit steigender Leistungsfähigkeit benötige die Beschwerdeführerin nun aber ein individuelles Gerät, damit sie das in der Schule erworbene Wissen schriftlich festhalten und durch regelmässiges Üben selbständig vertiefen könne; zudem müsse sie auch ausserhalb der Schule über zuverlässige Kommunikationsformen verfügen können, um mit der intellektuellen Leistungsfähigkeit Nichtbehinderter Schritt halten zu können; andernfalls wäre eine progressive Verarmung der Sprache bzw. des Denkens zu befürchten, und eine gesunde geistige Entwicklung wäre verunmöglicht. Die Logopädin hält auch fest, dass die Eltern grosses Verständnis für ihr Kind haben und es in optimaler Weise unterstützen und fördern. Ein sinnvoller Einsatz des beantragten Gerätes im Wohnbereich zur Kontaktpflege mit Eltern und Geschwistern ist unter diesen Umständen gewährleistet. Das Bundesamt für Sozialversicherung bemerkt in seiner Stellungnahme, die Beschwerdeführerin werde nach der Schulentlassung die Anspruchsvoraussetzungen für ein Carba-Schreibgerät mit an Sicherheit grenzender Wahrscheinlichkeit erfüllen und ein solches Gerät zu Kommunikationszwecken benötigen. Im vorliegenden Fall spreche nichts gegen eine vorzeitige Abgabe BGE 106 V 81 S. 86 dieses Hilfsmittels zu einem Zeitpunkt, in welchem es bereits zu einem erheblichen Teil zum Zwecke der Kommunikation verwendet werden könne. Damit ergibt sich, dass die Beschwerdeführerin die vier vom Bundesamt aufgestellten Kriterien erfüllt, weshalb eine individuelle Abgabe möglich ist ohne Rücksicht darauf, dass die Beschwerdeführerin während der Schulzeit ein heimeigenes Gerät benützen kann. Im übrigen ist vorliegend klarerweise auch die Grundvoraussetzung der Ziff. 15.02 des Anhangs zur HVI erfüllt. Die Invalidenversicherung hat deshalb der Beschwerdeführerin das verlangte Carba-Schreibgerät leihweise individuell abzugeben. Dispositiv Demnach erkennt das Eidg. Versicherungsgericht: In Gutheissung der Verwaltungsgerichtsbeschwerde werden der Entscheid des Verwaltungsgerichtes des Kantons Luzern vom 20. Dezember 1979 und die Verfügung der Ausgleichskasse des Kantons Luzern vom 7. Juni 1979 aufgehoben und die Sache an die Verwaltung zurückgewiesen, damit sie über das Carba-Schreibgerät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