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112</w:t>
      </w:r>
    </w:p>
    <w:p>
      <w:r>
        <w:t>Bundesgericht (BGE), 1980-06-09, DE</w:t>
      </w:r>
    </w:p>
    <w:p>
      <w:r>
        <w:rPr>
          <w:b/>
        </w:rPr>
        <w:t xml:space="preserve">Quelle: </w:t>
      </w:r>
      <w:r>
        <w:t>https://mcp.opencaselaw.ch/entscheid/bge_BGE_106_V_112</w:t>
      </w:r>
    </w:p>
    <w:p>
      <w:r>
        <w:t>FR: ATF 106 V 112</w:t>
      </w:r>
    </w:p>
    <w:p>
      <w:r>
        <w:t>IT: DTF 106 V 112</w:t>
      </w:r>
    </w:p>
    <w:p>
      <w:pPr>
        <w:pStyle w:val="Heading2"/>
      </w:pPr>
      <w:r>
        <w:t>Regeste</w:t>
      </w:r>
    </w:p>
    <w:p>
      <w:r>
        <w:t>Regeste Art. 67 Abs. 3 KUVG. Vollständige Unzurechnungsfähigkeit infolge Alkoholisierung (in casu verneint) und Tatbegehung aus selbstverschuldetem Notstand.</w:t>
      </w:r>
    </w:p>
    <w:p>
      <w:r>
        <w:t>Regeste Art. 67 al. 3 LAMA. Incapacité totale de discernement consécutive à un état d'ébriété (niée dans le cas d'espèce) et commission d'un acte dans un état de nécessité imputable à une faute de l'auteur.</w:t>
      </w:r>
    </w:p>
    <w:p>
      <w:r>
        <w:t>Regesto Art. 67 cpv. 3 LAMI. Incapacità totale di discernimento conseguente a ebrietà (negata in casu) e compimento di un atto in stato di necessità imputabile all'agente.</w:t>
      </w:r>
    </w:p>
    <w:p>
      <w:pPr>
        <w:pStyle w:val="Heading2"/>
      </w:pPr>
      <w:r>
        <w:t>Erwägungen</w:t>
      </w:r>
    </w:p>
    <w:p>
      <w:r>
        <w:rPr>
          <w:b/>
        </w:rPr>
        <w:t>E. 1</w:t>
      </w:r>
    </w:p>
    <w:p>
      <w:r>
        <w:t>Gestützt auf die in Art. 67 Abs. 3 KUVG enthaltene Ermächtigung hat der SUVA-Verwaltungsrat mit Beschluss vom 31. Oktober 1967 unter anderm "Vergehenshandlungen" von der Versicherung ausgeschlossen. Darunter ist nach der Rechtsprechung jede mit Strafe bedrohte Handlung zu verstehen, insbesondere auch Übertretungen. Eine Vergehenshandlung liegt in der Regel nur dann vor, wenn der Täter vorsätzlich oder fahrlässig gehandelt hat ( Art. 18 StGB ). Der Ausschluss setzt also voraus, dass der Täter nicht voll urteilsunfähig war. Bei selbstverschuldeter Unzurechnungsfähigkeit sind die Art. 12 und 263 StGB anwendbar. Auch diese Tatbestände haben Ausschluss von der Versicherung der Nichtbetriebsunfälle zur Folge (EVGE 1966 S. 7, 1962 S. 273, 1961 S. 10; nicht veröffentlichte Urteile Imboden vom 1. Mai 1973, Ammann vom 22. Februar 1972, Minoggio vom 28. Oktober 1969, Mehr vom 5. Mai 1969 und Jallonardi vom 26. Juli 1968; vgl. auch BGE 98 V 144 Erw. 4; MAURER, Recht und Praxis, 1963, S. 157).</w:t>
      </w:r>
    </w:p>
    <w:p>
      <w:r>
        <w:rPr>
          <w:b/>
        </w:rPr>
        <w:t>E. 2</w:t>
      </w:r>
    </w:p>
    <w:p>
      <w:r>
        <w:t>a) Gemäss Art. 145 Abs. 1 StGB wird, auf Antrag, mit Gefängnis oder mit Busse bestraft, wer eine fremde Sache beschädigt, zerstört oder unbrauchbar macht. Der Beschwerdeführer BGE 106 V 112 S. 114 hatte am fraglichen Abend die Glastüre des Postwohnblocks eingeschlagen. Damit erfüllte er den objektiven Tatbestand der Sachbeschädigung. Unerheblich ist, dass kein Strafantrag gestellt wurde. Es fragt sich hingegen, ob Schuldausschliessungs- oder Rechtfertigungsgründe vorlagen. In der Verwaltungsgerichtsbeschwerde wird erwogen, dass der Beschwerdeführer in Anbetracht der Tatumstände vollständig unzurechnungsfähig gewesen sein müsse. Verantwortlich hiefür wird vor allem die Alkoholisierung gemacht. In der Tat ist anzunehmen, dass der Beschwerdeführer im Verlaufe des Abends vom 26. April 1978 erhebliche Mengen alkoholischer Getränke zu sich genommen hatte und daher um 02.30 Uhr betrunken war. Indes ist die Fähigkeit, das Unrecht einer strafbaren Handlung einzusehen und einsichtsgemäss zu handeln, auch bei stark Berauschten nur ganz selten vollständig aufgehoben. Das gilt insbesondere bei Delikten, die einfache Tathandlungen erfordern und einen so offensichtlichen Unrechtsgehalt zeigen (wie vorliegend das Einschlagen der Glastüre), dass ihn auch ein getrübtes Bewusstsein noch wahrnehmen kann. Der Beschwerdeführer hatte sich bis etwa 02.30 Uhr unauffällig verhalten. Unvermittelt begann er alsdann zu randalieren, war anschliessend aber vorerst wieder ruhig. Daraus ist zu schliessen, dass er in diesem Zeitpunkt noch ansprechbar war und seine Aggressionen zu beherrschen vermochte. Im weiteren ergibt sich aus den Akten, dass er sich an die späteren Ereignisse ziemlich gut erinnern konnte. Dass er trotz der Alkoholisierung, der Affekte und der Schmerzen in gewissem Umfang noch zielgerichtet denken und handeln konnte, geht aus seinem Verhalten nach dem Einschlagen der Glastüre beim Postwohnblock hervor, als er auf der Suche nach Hilfe für seine Verletzungen zum Restaurant zurückkehrte und wegen der verschlossenen Türe das Fenster einschlug. Angesichts dieser Tatumstände kann nicht mit hinreichender Wahrscheinlichkeit eine vollständige Unzurechnungsfähigkeit angenommen werden. Gegen diese Feststellung nicht aufzukommen vermag die in der Verwaltungsgerichtsbeschwerde vertretene Auffassung, die völlig unverständliche Handlungsweise des Beschwerdeführers lasse sich einzig durch vollständige Unzurechnungsfähigkeit plausibel erklären, es sei denn, er habe sich in einem Putativnotstand befunden. Abgesehen davon, dass bisweilen auch voll zurechnungsfähige Personen ganz unvernünftige Einzelhandlungen BGE 106 V 112 S. 115 begehen, erscheint das Verhalten des Beschwerdeführers am fraglichen Abend nicht derart uneinfühlbar und abwegig, dass es als gewichtiges Indiz für vollständige Unzurechnungsfähigkeit gewertet werden müsste. Als Motive für das Zerschlagen der Postblocktüre kommen aufgrund der Akten aufgestauter Arger wegen familiären und finanziellen Problemen sowie Wut über die Behandlungsweise durch die Wirtsleute und Wirtshausgäste in Frage. Ein Gast erwähnte, dass der Beschwerdeführer wegen der Serviertochter möglicherweise eifersüchtig gewesen sei. Er selber nennt Verlassenheit und Angstgefühle. Welcher dieser Affekte im Vordergrund stand, kann offen bleiben. Massgeblich ist, dass in keinem Fall, auch unter Berücksichtigung der Alkoholisierung, rechtsgenüglich auf einen die Zurechnungsfähigkeit vollständig aufhebenden psychischen Ausnahmezustand geschlossen werden kann. Ebenso wenig liegen hinreichende Anhaltspunkte für einen pathologischen Alkoholrausch vor. In der Verwaltungsgerichtsbeschwerde wird für den Fall, dass der Beschwerdeführer im Zeitpunkt der Tat nicht vollständig unzurechnungsfähig gewesen sei, hinsichtlich der Beschädigung der Glastüre Putativnotstand geltend gemacht. Notstandshandlung im Sinne von Art. 34 StGB ist der sonst strafbare Eingriff in fremde Rechtsgüter, um eigene oder fremde Rechtsgüter aus einer unmittelbaren, nicht anders abwendbaren Gefahr zu erretten. Die irrtümliche Annahme einer unmittelbaren Gefahr führt zum Putativnotstand. Diesfalls wird der Täter nach dem von ihm vorgestellten günstigeren Sachverhalt beurteilt ( Art. 19 Abs. 1 StGB ). Die Vorinstanz hat in ihrem Entscheid zutreffend begründet, dass der Beschwerdeführer nach Massgabe der Akten die Glastüre am Postwohnblock nicht zufolge einer objektiv vorhandenen Gefahr für seine Person eingeschlagen hatte. Notstand lag somit nicht vor. Zum Putativnotstand wird in der Verwaltungsgerichtsbeschwerde ausgeführt, was sich am fraglichen Abend wirklich abgespielt habe und was der subjektive Grund des Beschwerdeführers für sein Verhalten gewesen sei, lasse sich heute nicht mehr mit Sicherheit rekonstruieren. Man könne nur noch Annahmen treffen. Denkbar sei beispielsweise ohne weiteres, dass der Beschwerdeführer befürchtet habe, die Gäste kämen zurück, um ihn noch einmal zu schlagen. Derartige Erklärungsversuche vermögen jedoch angesichts der Aussagen BGE 106 V 112 S. 116 des Beschwerdeführers nicht zu überzeugen. So gab der Beschwerdeführer am 28. Juni 1976 zu Protokoll, dass er nicht verfolgt worden sei. Er habe sich allein und verlassen gefühlt und Angst verspürt. Dass er sich bedroht wähnte, wird nicht behauptet. Es lässt sich daher nicht sagen, dass die Beschädigung an der Türe des Postwohnblocks aus der irrtümlichen Annahme einer unmittelbaren Gefahr heraus erfolgte. Putativnotstand lag somit aufgrund der Akten nicht vor. b) Durch das Einschlagen des Fensters beim Restaurant Löwen hatte der Beschwerdeführer ein weiteres Mal den objektiven Tatbestand der Sachbeschädigung gemäss Art. 145 Abs. 1 StGB erfüllt. In der Verwaltungsgerichtsbeschwerde wird diesbezüglich argumentiert, der Beschwerdeführer habe sich in einer tatsächlichen Notstandslage befunden, da er verletzt gewesen sei und auch ärztliche Hilfe gesucht habe. Es kann offen bleiben, ob diese Würdigung des Sachverhalts zutrifft. Denn selbst wenn es sich bei dieser Sachbeschädigung um eine Nottat gehandelt haben sollte, könnte der Richter den Beschwerdeführer nicht von Strafe freisprechen. Die dem Beschwerdeführer drohende Gefahr im Gefolge seiner Verletzungen ist nach Massgabe der vorstehenden Erwägungen fraglos selbstverschuldet, was nach Art. 34 Ziff. 1 Abs. 2 StGB in Verbindung mit Art. 66 StGB lediglich zu einer Strafmilderung nach freiem Ermessen führt.</w:t>
      </w:r>
    </w:p>
    <w:p>
      <w:r>
        <w:rPr>
          <w:b/>
        </w:rPr>
        <w:t>E. 3</w:t>
      </w:r>
    </w:p>
    <w:p>
      <w:r>
        <w:t>Aus dem Gesagten folgt, dass der Beschwerdeführer den Tatbestand der Sachbeschädigung auch in subjektiver Hinsicht gesetzt hatte. Die allenfalls gegebene verminderte Zurechnungsfähigkeit im Zeitpunkt der Tat und eine allfällige Notstandslage beim Einschlagen des Fensters beim Restaurant Löwen vermöchten lediglich eine Strafmilderung ( Art. 11 und Art. 34 Ziff. 1 Abs. 2 StGB in Verbindung mit Art. 66 StGB ) zu bewirken, nicht jedoch völlige Straffreiheit. Bei dieser Sachlage bleibt für die Anwendung von Art. 263 StGB (Verübung einer Tat in selbstverschuldeter Unzurechnungsfähigkeit) kein Raum. Es erübrigt sich auch die Prüfung weiterer Straftatbestände (Hausfriedensbruch und ungebührliches Verhalten in einem Wirtshaus) sowie des Wagnisses im Sinne von Art. 67 Abs. 3 KUVG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