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330 vom 1. Januar 1980</w:t>
      </w:r>
    </w:p>
    <w:p>
      <w:r>
        <w:t>Bundesgericht (BGE), 1980-01-01, DE</w:t>
      </w:r>
    </w:p>
    <w:p>
      <w:r>
        <w:rPr>
          <w:b/>
        </w:rPr>
        <w:t xml:space="preserve">Quelle: </w:t>
      </w:r>
      <w:r>
        <w:t>https://mcp.opencaselaw.ch/entscheid/bge_BGE_106_Ib_330</w:t>
      </w:r>
    </w:p>
    <w:p>
      <w:r>
        <w:t>FR: BGE BGE 106 Ib 330 du 1 janvier 1980</w:t>
      </w:r>
    </w:p>
    <w:p>
      <w:r>
        <w:t>IT: BGE BGE 106 Ib 330 del 1 gennaio 1980</w:t>
      </w:r>
    </w:p>
    <w:p>
      <w:pPr>
        <w:pStyle w:val="Heading2"/>
      </w:pPr>
      <w:r>
        <w:t>Regeste</w:t>
      </w:r>
    </w:p>
    <w:p>
      <w:r>
        <w:t>Regeste Art. 30 GSchG und Art. 22ter BV; Entschädigung für Nutzungsbeschränkungen infolge Grundwasserschutzzone. Aufgrund von Art. 30 GSchG mit Schutzzonenplan angeordnetes Verbot einer intensiven landwirtschaftlichen Nutzung, ohne jedoch die bisherige Nutzung zu untersagen. Art. 30 Abs. 2 GSchG ordnet keine Entschädigungspflicht an, sondern legt nur fest, wen eine solche allenfalls trifft (E. 3). Abgrenzung zwischen materieller Enteignung und entschädigungslos zulässiger Eigentumsbeschränkung (Bestätigung von BGE 96 I 359). Mögliche Ausnahmen vom Grundsatz der Entschädigungslosigkeit von Eigentumsbeschränkungen polizeilicher Natur im engern Sinne (E. 4).</w:t>
      </w:r>
    </w:p>
    <w:p>
      <w:r>
        <w:t>Regeste Art. 30 LPEP et art. 22ter Cst.; indemnité pour les restrictions apportées à l'utilisation de biens-fonds ensuite de l'établissement d'une zone de protection des eaux souterraines. Plan de zones de protection établi sur la base de l'art. 30 LPEP et impliquant l'interdiction d'utiliser un bien-fonds à des fins agricoles intensives, mais non celle d'en poursuivre l'exploitation actuelle. L'art. 30 al. 2 LPEP ne fixe aucune obligation d'indemniser, mais se borne à établir à qui un tel devoir incombe le cas échéant (consid. 3). Distinction entre expropriation matérielle et restrictions de la propriété admissibles sans indemnité (confirmation de la jurisprudence publiée aux ATF 96 I 359). Exceptions possibles au principe selon lequel les restrictions de propriété justifiées par des mesures de police "stricto sensu" ne donnent pas lieu à indemnité (consid. 4).</w:t>
      </w:r>
    </w:p>
    <w:p>
      <w:r>
        <w:t>Regesto Art. 30 LCIA, art. 22ter Cost.; indennità per restrizioni apportate all'utilizzazione di fondi in seguito all'istituzione di una zona di protezione delle acque sotterranee. Piano di zone di protezione istituito in base all'art. 30 LCIA e comportante il divieto di utilizzare un fondo a fini agricoli in forma intensa, ma non il divieto di proseguire l'attuale utilizzazione. L'art. 30 cpv. 2 LCIA non fissa alcun obbligo d'indennizzo, ma si limita a stabilire a chi incomba eventualmente tale obbligo (consid. 3). Distinzione tra espropriazione materiale e restrizioni della proprietà consentite senza obbligo d'indennità (conferma della giurisprudenza pubblicata in DTF 96 I 359). Deroghe possibili al principio secondo cui le restrizioni della proprietà giustificate da provvedimenti di polizia "stricto sensu" non dànno luogo ad indennità (consid. 4).</w:t>
      </w:r>
    </w:p>
    <w:p>
      <w:pPr>
        <w:pStyle w:val="Heading2"/>
      </w:pPr>
      <w:r>
        <w:t>Erwägungen</w:t>
      </w:r>
    </w:p>
    <w:p>
      <w:r>
        <w:rPr>
          <w:b/>
        </w:rPr>
        <w:t>E. 3</w:t>
      </w:r>
    </w:p>
    <w:p>
      <w:r>
        <w:t>Die Auffassung der Beschwerdeführerin, Art. 30 GSchG gebe ihr einen Entschädigungsanspruch unabhängig davon, ob sie durch die Nutzungsbeschränkungen materiell enteignet werde, geht fehl. Abgesehen davon, dass sie das Verfahren zur Geltendmachung von Entschädigungsansprüchen wegen materieller Enteignung eingeleitet hat und ihre Behauptung bereits aus diesem Grunde widersprüchlich ist, geht aus dem Wortlaut von Art. 30 GSchG unmissverständlich BGE 106 Ib 330 S. 332 hervor, dass er keine Entschädigungspflicht für Grundwasserschutzzonen anordnet, sondern einzig festlegt, wer allfällige Entschädigungen für Nutzungsbeschränkungen auszurichten hat. Die Gesetzesmaterialien bestätigen diesen Zweck des Art. 30 Abs. 2. Der Berichterstatter der Mehrheit der ständerätlichen Kommission (Hofmann) legte dar, der dem heutigen Art. 30 Abs. 2 entsprechende Art. 29 Abs. 2 des Entwurfes behandle das Problem der Entschädigung; diese treffe grundsätzlich die Eigentümer der Grundwasserfassungen, sofern eine Entschädigungspflicht bestehe. Ausdrücklich hielt dieser Berichterstatter fest: "Wann eine Entschädigungspflicht besteht, wird in diesem Gesetz nicht bestimmt." Der Berichterstatter der Minderheit (Rohner) wünschte unter Hinweis auf die Praxis des Bundesgerichtes, wonach Eingriffe polizeilicher Natur zum Schutze der öffentlichen Gesundheit nicht entschädigungspflichtig seien, eine andere Gliederung des Artikels, "weil sonst leicht der Eindruck entstehen wird, dass die Ausscheidung von Schutzzonen in jedem Fall entschädigungspflichtig sei". Bundesrat Tschudi antwortete hierauf, dass keine materielle Differenz bestehe. Auch aus der Zustimmung zum Antrag der Mehrheit und des Bundesrates könne nicht geschlossen werden, dass damit alle Nutzungsbeschränkungen entschädigungspflichtig wären. Die Meinung gehe durchaus dahin, "dass auch in Zukunft gemäss der Praxis des Bundesgerichts, die von Herrn Ständerat Rohner zitiert wurde, gehandelt werden soll" (Amtl.Bull. 1971 S 147 f.). Im Nationalrat gab die Bestimmung zu keinen weiteren Diskussionen Anlass (Amtl. Bull. 1971 N 715 f.). Der Artikel wurde in der Fassung der Mehrheit angenommen. Entgegen der Auffassung der Beschwerdeführerin ergibt sich hieraus eindeutig, dass Art. 30 GSchG die Frage der Entschädigungspflicht nicht regelt, da es der Gesetzgeber bei der bundesgerichtlichen Praxis bewenden lassen wollte. In dieser Hinsicht hat somit die Rechtslage gegenüber dem früheren Gewässerschutzgesetz vom 16. März 1955 keine Änderung erfahren. Der Ausgang der Beschwerdesache hängt somit davon ab, ob die Nutzungsbeschränkungen eine materielle Enteignung der Beschwerdeführerin zur Folge haben.</w:t>
      </w:r>
    </w:p>
    <w:p>
      <w:r>
        <w:rPr>
          <w:b/>
        </w:rPr>
        <w:t>E. 4</w:t>
      </w:r>
    </w:p>
    <w:p>
      <w:r>
        <w:t>Das Bundesgericht ist in steter Rechtsprechung davon ausgegangen, dass die Ausübung jedes verfassungsmässigen Rechts unter dem Vorbehalt staatlicher Massnahmen zur Wahrung BGE 106 Ib 330 S. 333 der öffentlichen Ordnung stehe. Es hat daraus geschlossen, dass sich die Frage der Entschädigungspflicht des Gemeinwesens für Eigentumsbeschränkungen dann nicht stelle, wenn der Eingriff in das Grundeigentum zum Schutze von Polizeigütern, insbesondere zur Gewährleistung von Leben, Gesundheit, Ruhe und öffentlicher Sicherheit, erfolge. Dabei hat es der Abgrenzung zwischen entschädigungsloser Eigentumsbeschränkung und materieller Enteignung einen engen Polizeibegriff zugrunde gelegt. In BGE 96 I 359 führte es aus: "Von einer entschädigungslos zulässigen Eigentumsbeschränkung muss ... dann gesprochen werden, wenn mit der gegen den Störer gerichteten Massnahme eine als Folge der beabsichtigten Grundstücksbenutzung zu erwartende konkrete, d.h. ernsthafte und unmittelbare Gefahr für die öffentliche Ordnung, Sicherheit und Gesundheit abgewendet werden soll und wenn die zuständige Behörde zu diesem Zweck ein von Gesetzes wegen bestehendes Verbot konkretisiert und in Bezug auf die in Frage stehende Grundstücksnutzung bloss die stets zu beachtenden polizeilichen Schranken der Eigentumsfreiheit festsetzt." Diese Rechtsprechung hat das Bundesgericht dem Grundsatze nach wiederholt bestätigt ( BGE 105 Ia 335 E. 3b und BGE 103 Ib 214 E. 1c; Urteil Stalder vom 14. Februar 1979, in BVR 77/1979 S. 381 E. 4b und c). ANDRE GRISEL (Juridiction constitutionnelle de demain, in ZBl 72/1971 S. 224) meldet dagegen einen Vorbehalt an, weil die Abgrenzung des engen Polizeibegriffs schwierig sei. Dieser Umstand allein bildet aber keinen genügenden Grund zur Aufgabe des Grundsatzes, dass Beschränkungen, welche die stets zu beachtenden polizeilichen Schranken der Eigentumsfreiheit festsetzen, entschädigungslos zu dulden sind. Das von A. GRISEL angeführte Beispiel - gänzliches Bauverbot zur Sicherung der Verkehrsübersicht - vermag deshalb nicht zu überzeugen, weil ein entsprechendes, regelmässig mit planerischen Mitteln wie einer Baulinienziehung erfolgendes Verbot, das eine an sich zur Überbauung geeignete, einer Bauzone zugewiesene erschlossene Parzelle betrifft, keineswegs bloss die stets zu beachtenden polizeilichen Schranken der Eigentumsfreiheit festsetzt. Im Vordergrund steht vielmehr eine Massnahme der Strassenplanung, die ein dem Eigentümer grundsätzlich zustehendes Recht entzieht. Es ist denn auch kennzeichnend, dass das positive Recht vielfach BGE 106 Ib 330 S. 334 ausdrücklich die Möglichkeit der Entschädigung, allenfalls in Form der Gewährung des sogenannten Heimschlagsrechts, für entsprechendes, zufolge der Baulinien nicht mehr überbaubares Land vorsieht. Auch die Kritik von BLAISE KNAPP (La garantie de la propriété - l'expropriation matérielle, in: Le droit suisse en évolution, veröffentlicht von der Faculté de droit de l'université de Lausanne, 1978 S. 12) spricht nicht gegen den genannten Entscheidungsgrundsatz, da das von ihm angeführte Beispiel der Bauvorschriften zur Beschränkung der Geschosszahl auch nach der Auffassung des Bundesgerichts keinen Anwendungsfall des Polizeibegriffes im engeren Sinne darstellt. Das zweite Beispiel - Verschärfung von Sicherheitsvorschriften, die zur Folge haben können, dass bewilligte Installationen geändert werden müssen - berührt Fragen der Bestandesgarantie, auf die sich der angeführte Entscheidungsgrundsatz nicht ohne weiteres bezieht, hat doch das Bundesgericht die Frage, wie zu entscheiden wäre, wenn eine bereits bestehende Nutzung untersagt wird, ausdrücklich offen gelassen ( BGE 96 I 359 unten). ULRICH ZIMMERLI schliesslich (Die Rechtsprechung des Bundesgerichts zur materiellen Enteignung, ZBl 75/1974 S. 152 f.) möchte den Grundsatz des Ausschlusses der Entschädigungspflicht bei polizeilichen Eigentumsbeschränkungen im engeren Sinne dahin präzisieren, dass jedenfalls solche Eigentumsbeschränkungen entschädigungslos zuzulassen sind, "die der konkreten Gefahrenabwehr dienen und mit denen vermieden werden soll, dass der Eigentümer von seinem Grundstück aus andere Bürger ernsthaft und unmittelbar gefährdet oder schädigt oder dass der Grundeigentümer sich selber erheblichen Gefahren aussetzt". Diese Formulierung entspricht durchaus der bundesgerichtlichen Rechtsprechung, umfasst sie doch die in BGE 96 I 128 E. b angeführten Beispiele sowie das mit Rücksicht auf eine Grundwasserfassung angeordnete Verbot der Kiesausbeutung, das dem Entscheid BGE 96 I 350 ff. zugrunde liegt. An dieser Rechtsprechung ist daher festzuhalten. Es ist indes hervorzuheben, dass nach ihr nur solche polizeilichen Verbote entschädigungslos zu dulden sind, welche "in bezug auf die in Frage stehende Grundstücksnutzung bloss die stets zu beachtenden polizeilichen Schranken der Eigentumsfreiheit" festsetzen. Stets zu beachten sind nur die im Sinne des Verhältnismässigkeitsprinzipes BGE 106 Ib 330 S. 335 notwendigen Beschränkungen, nicht auch Anordnungen, welche weiter gehen, als zur Abwendung der ernsthaften und unmittelbaren Gefahr erforderlich ist. Bei den mit Gewässerschutzzonen verbundenen Nutzungsbeschränkungen ist es sehr wohl denkbar, dass z.B. anstelle blosser Baubeschränkungen (wie sie das Bundesrecht in der Verordnung vom 19. Juni 1972 zum Schutze der Gewässer gegen Verunreinigung durch wassergefährdende Flüssigkeiten vorsieht) Bauverbote angeordnet werden, etwa weil ausser dem Grundwasserschutz auch allgemeine raumplanerische Erwägungen für eine Freihaltezone sprechen. In solchen Fällen lässt sich der Ausschluss der Entschädigungspflicht nicht von vornherein mit der blossen Verweisung auf den (auch) polizeilich motivierten Charakter der entsprechenden Anordnungen begründen. Weiter hat das Bundesgericht die Frage, wie zu entscheiden wäre, wenn nicht eine geplante, sondern eine bereits bestehende Nutzung untersagt wird, ausdrücklich offen gelassen ( BGE 96 I 359 unten). Schliesslich sind die Fälle vorzubehalten, in denen die Schaffung einer Schutzzone nach Art. 30 GSchG eine Auszonung baureifen oder grob erschlossenen Landes bewirkt (vgl. BGE 105 Ia 338 E. 3d) oder einer solchen Auszonung gleichkommt; dabei stellt sich die Frage der Auszonung aber nur, wo sich die Schutzzone mit der Zone der Grundnutzung nicht verträgt.</w:t>
      </w:r>
    </w:p>
    <w:p>
      <w:r>
        <w:rPr>
          <w:b/>
        </w:rPr>
        <w:t>E. 5</w:t>
      </w:r>
    </w:p>
    <w:p>
      <w:r>
        <w:t>(Im vorliegenden Fall stellen die angeordneten Nutzungsbeschränkungen eine gegen den Störer gerichtete Massnahme dar, mit der eine konkrete, d.h. ernsthafte und unmittelbare Gefahr für die öffentliche Ordnung, Sicherheit und Gesundheit abgewendet werden soll, nämlich die Gefahr der Verschmutzung der von der Gemeinde seit langem betriebenen Trinkwasserfassung "Kächbrunnen", von deren Bestehen die Beschwerdeführerin beim Erwerb des fraglichen Landwirtschaftsbetriebes Kenntnis haben musste.) BGE 106 Ib 330 S. 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