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84 vom 1. Januar 1980</w:t>
      </w:r>
    </w:p>
    <w:p>
      <w:r>
        <w:t>Bundesgericht (BGE), 1980-01-01, DE</w:t>
      </w:r>
    </w:p>
    <w:p>
      <w:r>
        <w:rPr>
          <w:b/>
        </w:rPr>
        <w:t xml:space="preserve">Quelle: </w:t>
      </w:r>
      <w:r>
        <w:t>https://mcp.opencaselaw.ch/entscheid/bge_BGE_106_Ia_84</w:t>
      </w:r>
    </w:p>
    <w:p>
      <w:r>
        <w:t>FR: BGE BGE 106 Ia 84 du 1 janvier 1980</w:t>
      </w:r>
    </w:p>
    <w:p>
      <w:r>
        <w:t>IT: BGE BGE 106 Ia 84 del 1 gennaio 1980</w:t>
      </w:r>
    </w:p>
    <w:p>
      <w:pPr>
        <w:pStyle w:val="Heading2"/>
      </w:pPr>
      <w:r>
        <w:t>Regeste</w:t>
      </w:r>
    </w:p>
    <w:p>
      <w:r>
        <w:t>Regeste Reitverbot auf Waldwegen (Art. 699 ZGB, Art. 3 SVG). 1. Für ein Reitverbot auf Waldwegen, die für den Durchgangsverkehr gesperrt und mit einem generellen Fahrverbot belegt sind, gilt kantonales Recht (E. 2). 2. Es ist nicht unhaltbar anzunehmen, der nach kantonalem Recht im Sinne von Art. 699 ZGB zuständige Zivilrichter sei zum Erlass des in Frage stehenden Reitverbots befugt (E. 3).</w:t>
      </w:r>
    </w:p>
    <w:p>
      <w:r>
        <w:t>Regeste Chemins de forêt interdits aux cavaliers (art. 699 CC, art. 3 LCR). 1. L'interdiction de passer à cheval sur des chemins forestiers fermés au transit et soumis à une interdiction générale de circuler ressortit au droit cantonal (consid. 2). 2. Il n'est pas insoutenable de prévoir qu'une telle interdiction émane du juge civil désigné par le droit cantonal comme étant l'autorité compétente au sens de l'art. 699 CC (consid. 3).</w:t>
      </w:r>
    </w:p>
    <w:p>
      <w:r>
        <w:t>Regesto Divieto di passare a cavallo su sentieri forestali (art. 699 CC, art. 3 LCS). 1. Per il divieto di passare a cavallo su sentieri forestali chiusi al transito e soggetti a un divieto generale di circolazione è determinante il diritto cantonale (consid. 2). 2. Non è insostenibile reputare che il giudice civile competente secondo il diritto cantonale ai sensi dell'art. 699 CC sia altresì autorizzato ad emanare tale divieto (consid. 3).</w:t>
      </w:r>
    </w:p>
    <w:p>
      <w:pPr>
        <w:pStyle w:val="Heading2"/>
      </w:pPr>
      <w:r>
        <w:t>Erwägungen</w:t>
      </w:r>
    </w:p>
    <w:p>
      <w:r>
        <w:rPr>
          <w:b/>
        </w:rPr>
        <w:t>E. 2</w:t>
      </w:r>
    </w:p>
    <w:p>
      <w:r>
        <w:t>Das SVG ordnet den Verkehr auf öffentlichen Strassen ( Art. 1 SVG ). Darunter ist nach bundesgerichtlicher Rechtsprechung jede Verkehrsfläche zu verstehen, die jedermann benützen kann, auch wenn sie nicht allen Kategorien von Benützern offen steht ( BGE 101 Ia 572 E. 4a). Grundsätzlich können demnach auch Waldwege dem Geltungsbereich des SVG unterstehen. Nach Art. 3 SVG bleibt die kantonale Strassenhoheit im Rahmen des Bundesrechts gewahrt. So kann der Motorfahrzeug- und Fahrradverkehr auf Strassen, die nicht dem allgemeinen Durchgangsverkehr geöffnet sind, vollständig untersagt werden ( Art. 3 Abs. 3 SVG ). Insbesondere richten sich Massnahmen für die übrigen Fahrzeugarten und Strassenbenützer, soweit sie nicht zur Regelung des Motorfahrzeug- und Fahrradverkehrs erforderlich sind, nach kantonalem Recht ( Art. 3 Abs. 5 SVG ). Wie die Beschwerdegegnerin in ihrer Vernehmlassung ausführt, gilt für die in Frage stehenden Waldwege ein generelles Fahrverbot. Das Reitverbot, als Massnahme für die übrigen Strassenbenützer im Sinne von Art. 3 Abs. 5 SVG , ist deshalb zur Regelung des Motorfahrzeug- und Fahrradverkehrs offensichtlich nicht erforderlich. Für das Reitverbot gilt demnach kantonales Recht. Nach § 6 der basellandschaftlichen Verordnung zum Bundesgesetz über den Strassenverkehr vom 4. April 1968 (Vo zum SVG) entscheidet über den Erlass von Fahrverboten und Verkehrsbeschränkungen und die Anordnung von Signalen und Markierungen auf Gemeindestrassen die zuständige Gemeindebehörde. Gemeindewege sind nach § 3 des Gesetzes über das Strassenwesen vom 30. November 1916 Wege, die einer Gemeinde zu ihrem innern Verkehr dienen oder die Verbindung BGE 106 Ia 84 S. 86 mit Kantonsstrassen, Eisenbahnstationen oder andern Verkehrsstellen vermitteln. Die Waldwege, für welche das umstrittene Reitverbot Geltung beansprucht, sind dem Durchgangsverkehr nicht geöffnet und mit einem Fahrverbot belegt. Sie dienen deshalb weder dem innern Verkehr der Gemeinde noch stellen sie Verbindungen mit Kantonsstrassen etc. her. Es kann deshalb ohne Verletzung verfassungsmässiger Rechte, insbesondere ohne Verletzung des Grundsatzes der Gewaltentrennung, angenommen werden, die fraglichen Waldwege seien keine Gemeindestrassen im Sinne von § 6 der Vo zum SVG und die Gemeindebehörden seien folglich zum Erlass entsprechender Reitverbote nicht zuständig. Es ist aus diesem Grunde davon auszugehen, dass die Waldwege als Teil der Waldparzellen der Bürgergemeinde Allschwil anzusehen sind, für die der Bezirksgerichtspräsident zu Arlesheim das Reitverbot erlassen hatte, das der Beschwerdeführer nicht beachtete.</w:t>
      </w:r>
    </w:p>
    <w:p>
      <w:r>
        <w:rPr>
          <w:b/>
        </w:rPr>
        <w:t>E. 3</w:t>
      </w:r>
    </w:p>
    <w:p>
      <w:r>
        <w:t>Nach Art. 699 ZGB sind das Betreten von Wald und Weide und die Aneignung wildwachsender Beeren, Pilze und dergleichen in ortsüblichem Umfange jedermann gestattet, soweit nicht im Interesse der Kulturen seitens der zuständigen Behörde einzelne, bestimmt umgrenzte Verbote erlassen werden. a) Art. 699 ZGB statuiert zugleich Eigentumsbeschränkungen privatrechtlicher und öffentlichrechtlicher Natur. Das Bundesgericht hat diese Bestimmung deshalb als sog. Doppelnorm qualifiziert. Als privatrechtliche Vorschrift regelt Art. 699 ZGB die Beziehungen zwischen dem Eigentümer und den Spaziergängern, Beerensammlern usw. Aufgrund der öffentlichrechtlichen Vorschrift in dieser Bestimmung sind die Behörden ermächtigt, von Amtes wegen über den freien Zutritt zu Wald und Weide zu wachen ( BGE 106 Ib 48 E. 4; BGE 96 I 98 ff. E. 2). Der blosse Umstand, dass Art. 699 ZGB angesichts der öffentlichen Schutzfunktion, die der Bevölkerung den notwendigen Erholungsraum erhalten soll, auch von Verwaltungsorganen durchgesetzt werden kann, schliesst die Zuständigkeit des Zivilrichters nicht aus. Es ist vielmehr Sache der kantonalen Gesetzgebung, die für Einschränkungen und Verbote zuständige Behörde zu bestimmen. Diese kann infolge des Doppelcharakters von Art. 699 ZGB sowohl eine richterliche BGE 106 Ia 84 S. 87 wie eine Verwaltungsbehörde sein. Wird der Zivilrichter zum Erlass derartiger Verbote zuständig erklärt, so ist darin die Befugnis eingeschlossen, das Zutrittsrecht nicht nur im privaten Interesse des Eigentümers, sondern auch unter Berücksichtigung öffentlicher Interessen zu beschränken. Dies gilt unabhängig davon, ob der Eigentümer eine Privatperson oder eine öffentlichrechtliche Körperschaft ist. b) Das richterliche Reitverbot, dessen Rechtmässigkeit der Beschwerdeführer im Anschluss an die ihm auferlegte Busse bestreitet, ist im Verfahren nach §§ 247 ff. der basellandschaftlichen Zivilprozessordnung (ZPO) ergangen. Danach kann jedermann, der eine widerrechtliche Störung seines Eigentums oder einer Dienstbarkeit behauptet, diese Störung durch ein Verbot untersagen lassen (§ 247). Das Verbot wird durch den Gerichtspräsidenten des Bezirks bewilligt, in dessen Gebiet die mit Verbot zu schützende Sache gelegen ist. Er bedroht darin den Übertreter mit einer Busse von Fr. 5.-- bis Fr. 100.-- (§ 248 Abs. 2). Wird das Verbot nicht gegen eine bestimmte Person erlassen, so ist dasselbe durch Aufstellen einer gut lesbaren Verbotstafel und durch Publikation im Amtsblatt bekanntzumachen (§ 249 Abs. 2). Erklärt aber demnach das kantonale Recht im vorliegenden Fall den Bezirksgerichtspräsidenten zum Erlass derartiger Verbote als zuständig, so ist die Rüge des Beschwerdeführers, der Bezirksgerichtspräsident zu Arlesheim sei zum Erlass des Reitverbotes nicht zuständig gewesen, bzw. habe seine Kompetenz überschritten, unbegründet. c) Das Polizeigericht Arlesheim führt im angefochtenen Urteil aus, die quantitativ intensive Beanspruchung der Waldparzellen der Bürgergemeinde Allschwil durch Reiter sei gerichtsnotorisch. Sowohl entsprechende Schäden an den Kulturen wie das Interesse anderer Zutrittsberechtigter, namentlich der Fussgänger, rechtfertigten deshalb die Reitbeschränkung auf diesen Parzellen. Das Verbot des Gerichtspräsidenten zu Arlesheim vom 22. Juli 1965 ist in Anwendung von Bundesrecht ergangen; es stützt sich insoweit ausdrücklich auf Art. 699 ZGB , als es im Interesse der Kulturen verbietet, von den Waldwegen abzuweichen. Auslegung und Anwendung von Bundesrecht prüft das Bundesgericht im vorliegenden Beschwerdeverfahren nur auf Willkür ( BGE 102 Ia 155 E. 1, vgl. auch BGE 98 Ia 116 E. 3). Nach der Lehre gilt grundsätzlich auch das Reiten als "Betreten" BGE 106 Ia 84 S. 88 im Sinne von Art. 699 ZGB (MEIER-HAYOZ, Berner Kommentar, N. 23 zu Art. 699, HAAB/SIMONIUS/SCHERRER/ZOBL, Zürcher Kommentar, N. 8 zu Art. 699; LIVER, Schweizerisches Privatrecht, Bd. V/1, S. 282). Diese Art des Zutrittsrechts ist jedoch zum vorneherein mit einer intensiveren Beanspruchung von Wald und Weide verbunden als das blosse Betreten durch Fussgänger; dies rechtfertigt im öffentlichen Interesse, insbesondere zum Schutze der Kulturen, eine stärkere Beschränkung des Zutrittsrechts namentlich dort, wo dieses Zutrittsrecht intensiv ausgeübt wird und entsprechende Schädigungen auch durch sorgfältiges Reiten nicht vermieden werden können. Für die Rechtmässigkeit des Verbotes genügt in diesem Fall der Nachweis intensiver Ausübung des Zutrittrechts; welches konkrete Ausmass derartige Schäden bereits angenommen haben, ist diesfalls nicht entscheidend und die Rüge des Beschwerdeführers, er sei dazu nicht gehört worden, ist unbegründet. Das vorliegende Reitverbot ist auch insofern begrenzt, als es sich ausschliesslich auf die im Eigentum der Bürgergemeinde Allschwil stehenden, einzeln genannten Parzellen bezieht und das Reiten auf den entsprechend gekennzeichneten Wegen erlaubt. Verletzt somit das der angefochtenen Busse zugrundeliegende Verbot auch materiell die verfassungsmässigen Rechte des Beschwerdeführers nicht, so ist die staatsrechtliche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