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58 vom 1. Januar 1980</w:t>
      </w:r>
    </w:p>
    <w:p>
      <w:r>
        <w:t>Bundesgericht (BGE), 1980-01-01, DE</w:t>
      </w:r>
    </w:p>
    <w:p>
      <w:r>
        <w:rPr>
          <w:b/>
        </w:rPr>
        <w:t xml:space="preserve">Quelle: </w:t>
      </w:r>
      <w:r>
        <w:t>https://mcp.opencaselaw.ch/entscheid/bge_BGE_106_Ia_58</w:t>
      </w:r>
    </w:p>
    <w:p>
      <w:r>
        <w:t>FR: BGE BGE 106 Ia 58 du 1 janvier 1980</w:t>
      </w:r>
    </w:p>
    <w:p>
      <w:r>
        <w:t>IT: BGE BGE 106 Ia 58 del 1 gennaio 1980</w:t>
      </w:r>
    </w:p>
    <w:p>
      <w:pPr>
        <w:pStyle w:val="Heading2"/>
      </w:pPr>
      <w:r>
        <w:t>Regeste</w:t>
      </w:r>
    </w:p>
    <w:p>
      <w:r>
        <w:t>Regeste Art. 4 BV; Baubewilligungsverfahren. Polizeiliche Generalklausel als Grundlage öffentlichrechtlichen Immissionsschutzes (Abwehr befürchteter übermässiger Lärmimmissionen eines Bauprojekts). Legitimation der Nachbarn, eine Verletzung der polizeilichen Generalklausel mit staatsrechtlicher Beschwerde zu rügen (E. 1). Kognition des Bundesgerichts (E. 2).</w:t>
      </w:r>
    </w:p>
    <w:p>
      <w:r>
        <w:t>Regeste Art. 4 Cst.; procédure d'autorisation de construire. Clause générale de police comme fondement de la protection de droit public contre les immissions (prévention contre des immissions de bruit d'un projet de construction qu'on craint excessives). Qualité des voisins pour invoquer par la voie du recours de droit public le grief de violation de la clause générale de police (consid. 1). Pouvoir d'examen du Tribunal fédéral (consid. 2).</w:t>
      </w:r>
    </w:p>
    <w:p>
      <w:r>
        <w:t>Regesto Art. 4 Cost.; procedura di rilascio di una licenza edilizia. Clausola generale di polizia quale base per la protezione di diritto pubblico contro immissioni eccessive (tutela contro paventate immissioni acustiche eccessive, vincolate a un progetto edilizio). Legittimazione dei vicini a sollevare con ricorso di diritto pubblico la censura di violazione della clausola generale di polizia (consid. 1). Cognizione del Tribunale federale (consid. 2).</w:t>
      </w:r>
    </w:p>
    <w:p>
      <w:pPr>
        <w:pStyle w:val="Heading2"/>
      </w:pPr>
      <w:r>
        <w:t>Erwägungen</w:t>
      </w:r>
    </w:p>
    <w:p>
      <w:r>
        <w:rPr>
          <w:b/>
        </w:rPr>
        <w:t>E. 1</w:t>
      </w:r>
    </w:p>
    <w:p>
      <w:r>
        <w:t>Nach der Rechtsprechung des Bundesgerichts sind die Beschwerdeführer als Stockwerkeigentümer von Wohnungen in den Häusern Miez, Valatscha und Tavanera der Überbauung Soleval, welche an die von der Gemeinde beschlossenen Sportanlagen mit Kunsteisbahn angrenzen, befugt, die Baubewilligung mit staatsrechtlicher Beschwerde anzufechten, soweit sie die Verletzung von Bauvorschriften geltend machen, die ausser den Interessen der Allgemeinheit auch oder in erster Linie dem Schutze der Nachbarn dienen. Voraussetzung bildet ferner, dass sie sich im Schutzbereich der entsprechenden Vorschriften befinden und durch die behaupteten widerrechtlichen Auswirkungen der Baute betroffen werden. Nicht entscheidend ist, ob sie im kantonalen Verfahren zum Baurekurs zugelassen worden sind ( BGE 102 Ia 93 E. 1; BGE 99 Ia 254 E. 4, mit Verweisungen). Im vorliegenden Falle stellte das Verwaltungsgericht fest, dass die Bauordnung der Gemeinde Vaz/Obervaz keine Immissionsschutzbestimmungen enthalte, auf die sich die Beschwerdeführer berufen könnten. Auch gebe Art. 12 des kantonalen Raumplanungsgesetzes vom 20. Mai 1973 den Nachbarn keinen direkten Abwehranspruch. Diese Bestimmung halte die Gemeinden lediglich dazu an, die erforderlichen Vorschriften über den Schutz der Nachbarschaft vor übermässigen Einwirkungen von Bauten und Anlagen zu erlassen. Im Baubewilligungsverfahren könne sich der Nachbar nicht auf diese reine Kompetenznorm für die Gemeinden berufen. Der von den BGE 106 Ia 58 S. 60 Beschwerdeführern erhobene Einwand, der Betrieb der geplanten Sportanlage werde mit unzumutbaren Immissionen für die Nachbarschaft verbunden sein, lasse sich daher weder auf eine ausdrückliche und unmittelbar anwendbare Vorschrift des kantonalen noch des kommunalen Rechts abstützen. Doch anerkannte das Verwaltungsgericht, dass beim Fehlen ausdrücklicher Immissionsschutzvorschriften Massnahmen zur Abwehr übermässiger Einwirkungen auf die Nachbarschaft gestützt auf die polizeiliche Generalklausel angeordnet werden könnten. Die Beschwerdeführer machen nicht geltend, das Verwaltungsgericht habe zu Unrecht das Fehlen einer ausdrücklichen Immissionsschutzvorschrift verneint. Sie anerkennen vielmehr die Erwägungen des Verwaltungsgerichts, wonach sie sich auf die polizeiliche Generalklausel berufen könnten. Es stellt sich daher zunächst die Frage, ob die Beschwerdeführer legitimiert sind, die Verletzung der polizeilichen Generalklausel mit staatsrechtlicher Beschwerde zu rügen. In Lehre und Praxis ist anerkannt, dass öffentlichrechtlicher Immissionsschutz auch aufgrund der polizeilichen Generalklausel betrieben werden kann. Diese tritt beim Fehlen ausdrücklich anwendbarer Normen an die Stelle öffentlichrechtlicher Blankettbestimmungen über den Immissionsschutz, wie sie im kantonalen Recht oft anzutreffen sind, indem dieses etwa eine dem Art. 684 ZGB entsprechende Regel als polizeirechtliche Norm ausgestaltet (RICHARD BÄUMLIN, Privatrechtlicher und öffentlichrechtlicher Immissionsschutz, in: Rechtliche Probleme des Bauens, Bern 1968, S. 107 ff., S. 122 ff.; PETER LIVER, in: Schweiz. Privatrecht, V/1, Sachenrecht, Basel 1977, S. 239; IMBODEN/RHINOW, Nr. 136, S. 1004; ERICH ZIMMERLIN, Baugesetz des Kantons Aargau, Kommentar, § 160, S. 460 ff.). Das Bundesgericht anerkennt, dass sich der Nachbar im staatsrechtlichen Beschwerdeverfahren auf derartige Immissionsschutzbestimmungen berufen kann ( BGE 99 Ia 254 E. 4 und 148 E. 1 ; 91 I 416 ff. E. 3 c-e). Sie verschaffen dem Nachbarn eine Sphäre rechtlich geschützter Interessen, die in den Kreis der durch die Eigentumsgarantie erfassten Rechtsgüter fallen. Auch wenn der Anwohner, der sich auf sie beruft, zugleich das Interesse der Gesamtheit wahrnimmt, ändert dies nicht daran, dass er eigene rechtlich geschützte Belange vertritt ( BGE 91 I 418 E. 3d). Übernimmt nun wegen Fehlens einer anwendbaren öffentlichrechtlichen Immissionsschutzbestimmung die polizeiliche BGE 106 Ia 58 S. 61 Generalklausel die Abwehr einer unmittelbar drohenden übermässigen Einwirkung, so verhält es sich gleich: Der Nachbar, der sich auf sie beruft, nimmt nicht nur das Interesse der Gesamtheit wahr, an der er Anteil hat, sondern er macht auch eigene rechtlich geschützte Interessen geltend. Sein Anspruch auf Abwehr übermässiger, die polizeiliche Generalklausel verletzender Immissionen fällt in gleicher Weise in den Kreis der durch die Eigentumsgarantie erfassten Rechtsgüter, wie dies für Ansprüche zutrifft, die aus einer öffentlichrechtlichen Blankettbestimmung über den Immissionsschutz hergeleitet werden. Eine innere Rechtfertigung für eine unterschiedliche Behandlung fehlt. Auf die staatsrechtliche Beschwerde ist daher grundsätzlich einzutreten. Erfüllt ist auch die Voraussetzung, dass sich die Beschwerdeführer im Schutzbereich der Massnahmen befinden, die aufgrund der polizeilichen Generalklausel allenfalls anzuwenden sind. Der Augenschein hat bestätigt, dass die Beschwerdeführer durch die behaupteten widerrechtlichen Auswirkungen der Sportanlagen betroffen werden können, wenngleich das Ausmass der Betroffenheit je nach der Lage der einzelnen Wohnungen unterschiedlich ist.</w:t>
      </w:r>
    </w:p>
    <w:p>
      <w:r>
        <w:rPr>
          <w:b/>
        </w:rPr>
        <w:t>E. 2</w:t>
      </w:r>
    </w:p>
    <w:p>
      <w:r>
        <w:t>Die Auslegung und Anwendung kantonalen Gesetzesrechtes prüft das Bundesgericht im allgemeinen nur unter dem Gesichtswinkel der Willkür ( BGE 101 Ia 449 E. 4b). Die Anwendung kantonalen Verfassungsrechts überprüft es hingegen grundsätzlich frei ( BGE 99 Ia 297 E. 2). Die polizeiliche Generalklausel zählt zu den ungeschriebenen Verfassungsgrundsätzen ( BGE 103 Ia 312 E. 3a; BGE 92 I 31 E. 5), ist aber subsidiärer Natur ( BGE 100 Ia 146 ). Zudem tritt sie im vorliegenden Falle an die Stelle einer gesetzlichen Blankettbestimmung des kantonalen öffentlichen Rechts über den Immissionsschutz. Eine freie Überprüfung ihrer Anwendung durch die kantonalen Instanzen wäre unter diesen Umständen um so weniger gerechtfertigt, als die im vorliegenden Fall in Frage stehenden Immissionsschutzmassnahmen jedenfalls ohne Willkür auch unmittelbar auf Art. 12 des kantonalen Raumplanungsgesetzes hätten gestützt werden können. Es entspricht dem Zweck dieser Vorschrift, wenn die Gemeinden bis zum Erlass der erforderlichen generellen Vorschriften über den Schutz der Nachbarschaft vor übermässigen Einwirkungen, die von Bauten und Anlagen ausgehen, im Einzelfall die nötigen Anordnungen BGE 106 Ia 58 S. 62 verfügen. Die Kognition des Bundesgerichts ist daher wie bei der Überprüfung der Anwendung öffentlichrechtlicher Immissionsschutzvorschriften des kantonalen Rechts auf Willkür zu beschränken. Die Beschwerdeführer werfen denn auch dem Verwaltungsgericht sowohl bei der Feststellung und Würdigung des Sachverhaltes als auch bei der Anwendung der polizeilichen Generalklausel Willkür vor. Das Bundesgericht hat somit nur zu prüfen, ob sich die Sachverhaltsfeststellung und -würdigung sowie die Rechtsanwendung des Verwaltungsgerichts mit sachlichen Gründen vertreten lässt. Willkür liegt nicht schon dann vor, wenn eine andere Lösung ebenfalls vertretbar oder sogar besser erschiene. Das Bundesgericht greift wegen Verletzung von Art. 4 BV vielmehr erst dann ein, wenn der angefochtene Entscheid offensichtlich unhaltbar ist ( BGE 99 Ia 346 E. 1 mit Verweisungen).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