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56 vom 1. Januar 1980</w:t>
      </w:r>
    </w:p>
    <w:p>
      <w:r>
        <w:t>Bundesgericht (BGE), 1980-01-01, DE</w:t>
      </w:r>
    </w:p>
    <w:p>
      <w:r>
        <w:rPr>
          <w:b/>
        </w:rPr>
        <w:t xml:space="preserve">Quelle: </w:t>
      </w:r>
      <w:r>
        <w:t>https://mcp.opencaselaw.ch/entscheid/bge_BGE_106_Ia_56</w:t>
      </w:r>
    </w:p>
    <w:p>
      <w:r>
        <w:t>FR: BGE BGE 106 Ia 56 du 1 janvier 1980</w:t>
      </w:r>
    </w:p>
    <w:p>
      <w:r>
        <w:t>IT: BGE BGE 106 Ia 56 del 1 gennaio 1980</w:t>
      </w:r>
    </w:p>
    <w:p>
      <w:pPr>
        <w:pStyle w:val="Heading2"/>
      </w:pPr>
      <w:r>
        <w:t>Regeste</w:t>
      </w:r>
    </w:p>
    <w:p>
      <w:r>
        <w:t>Regeste Art. 86 Abs. 2 OG. Zulässigkeit der staatsrechtlichen Beschwerde gegen Entscheide des aargauischen Regierungsrates über Einsprachen gegen Zonenpläne?</w:t>
      </w:r>
    </w:p>
    <w:p>
      <w:r>
        <w:t>Regeste Art. 86 al. 2 OJ. Recevabilité du recours de droit public contre des décisions du Conseil d'Etat argovien statuant sur des oppositions à des plans de zones?</w:t>
      </w:r>
    </w:p>
    <w:p>
      <w:r>
        <w:t>Regesto Art. 86 cpv. 2 OG. È ammissibile il ricorso di diritto pubblico contro decisioni del Consiglio di Stato del cantone di Argovia emanate su opposizioni a piani delle zone?</w:t>
      </w:r>
    </w:p>
    <w:p>
      <w:pPr>
        <w:pStyle w:val="Heading2"/>
      </w:pPr>
      <w:r>
        <w:t>Erwägungen</w:t>
      </w:r>
    </w:p>
    <w:p>
      <w:r>
        <w:rPr>
          <w:b/>
        </w:rPr>
        <w:t>E. 1</w:t>
      </w:r>
    </w:p>
    <w:p>
      <w:r>
        <w:t>a) Die vorliegende staatsrechtliche Beschwerde ist nur zulässig, wenn zuvor der kantonale Instanzenzug ausgeschöpft worden ist ( Art. 86 Abs. 2 OG ). Gemäss § 147 des kantonalen Baugesetzes unterliegen die Gemeindebauvorschriften der Genehmigung durch den Grossen Rat. Indessen ist dieser gegenüber dem Regierungsrat nicht Rechtsmittelinstanz. Der Regierungsrat leitet denn auch nach § 13 Abs. 2 VV EG/ZGB die "bereinigte Vorlage" an den Grossen Rat zur Genehmigung weiter, und zwar erst nachdem er zuvor über die Einsprachen "endgültig" entschieden hat. Es kann somit nicht davon die Rede sein, dass der Einsprecher im Verfahren vor dem Grossen Rat Parteistellung hätte, so dass es sich unter diesem Gesichtspunkt beim angefochtenen Beschluss um einen letztinstanzlichen Entscheid im Sinne von Art. 86 Abs. 2 OG handelt. b) Allerdings können gemäss § 68 des aargauischen Gesetzes über die Verwaltungsrechtspflege "Vorschriften verwaltungsrechtlicher Natur ... in Erlassen der Gemeinden ... dem Verwaltungsgericht jederzeit zur Prüfung auf ihre Verfassungs- und Gesetzmässigkeit unterbreitet werden".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104 Ia 135 E. 1, BGE 103 Ia 362 E. 1a). Angefochten ist mit BGE 106 Ia 56 S. 58 der vorliegenden staatsrechtlichen Beschwerde ein Zonenplan. Zonenpläne vereinigen indes sowohl die Merkmale von Einzelverfügungen als auch jene von allgemein verbindlichen Erlassen auf sich ( BGE 104 Ia 67 E. 2b, 185 E. 2d, 95 I 550 E. 2, BGE 94 I 341 E. 3). Da entsprechende Entscheide nicht bekannt sind, steht dahin, ob das aargauische Verwaltungsgericht den hier in Frage stehenden Zonenplan als Erlass im Sinne von § 68 des aargauischen Verwaltungsrechtspflegegesetzes und das abstrakte Normenkontrollverfahren daher als zulässig ansehen würde. Bestehen aber somit, wie hier, an der Zulässigkeit eines kantonalen Rechtsbehelfs ernstliche Zweifel, so braucht er unter dem Gesichtspunkt von Art. 86 Abs. 2 OG nicht ergriffen zu werden ( BGE 97 I 199 E. 2, BGE 96 I 644 E. 1 mit Hinweisen). Von da her erweist sich die staatsrechtliche Beschwerde somit als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