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184 vom 1. Januar 1980</w:t>
      </w:r>
    </w:p>
    <w:p>
      <w:r>
        <w:t>Bundesgericht (BGE), 1980-01-01, DE</w:t>
      </w:r>
    </w:p>
    <w:p>
      <w:r>
        <w:rPr>
          <w:b/>
        </w:rPr>
        <w:t xml:space="preserve">Quelle: </w:t>
      </w:r>
      <w:r>
        <w:t>https://mcp.opencaselaw.ch/entscheid/bge_BGE_106_Ia_184</w:t>
      </w:r>
    </w:p>
    <w:p>
      <w:r>
        <w:t>FR: BGE BGE 106 Ia 184 du 1 janvier 1980</w:t>
      </w:r>
    </w:p>
    <w:p>
      <w:r>
        <w:t>IT: BGE BGE 106 Ia 184 del 1 gennaio 1980</w:t>
      </w:r>
    </w:p>
    <w:p>
      <w:pPr>
        <w:pStyle w:val="Heading2"/>
      </w:pPr>
      <w:r>
        <w:t>Regeste</w:t>
      </w:r>
    </w:p>
    <w:p>
      <w:r>
        <w:t>Regeste Art. 22ter BV sowie Art. 19 und 20 GSchG (in der bis Ende 1979 geltenden Fassung); Entschädigung aus materieller Enteignung. Entzug einer in naher Zukunft mit hoher Wahrscheinlichkeit zu erwartenden Überbauungsmöglichkeit verneint, weil im massgeblichen Zeitpunkt - dem Inkrafttreten eines Schutzzonenplanes - die Voraussetzungen von Art. 19 ff. GSchG nicht erfüllt waren und auch keine besonderen Umstände vorlagen, die eine Einzonung zwingend geboten hätten. Die im Entwurf zu einem Zonenplan vorgesehene Einzonung vermag die Annahme nicht zu begründen, ein Grundstück sei in naher Zukunft mit hoher Wahrscheinlichkeit zu überbauen.</w:t>
      </w:r>
    </w:p>
    <w:p>
      <w:r>
        <w:t>Regeste Art. 22ter Cst., art. 19 et 20 LPEP (dans leur teneur jusqu'à fin 1979); indemnisation pour expropriation matérielle. Possibilité très probable de bâtir dans un proche avenir: suppression d'une telle possibilité niée en l'espèce, pour le motif que les conditions des art. 19 ss LPEP n'étaient pas remplies au moment déterminant - entrée en vigueur d'un plan de zones protégées - et qu'aucune circonstance n'imposait de façon impérative le classement du terrain litigieux en zone à bâtir. Le fait que le projet d'un plan de zones prévoit de classer un terrain en zone à bâtir ne permet pas de conclure que ce terrain serait devenu très probablement du terrain à bâtir dans un proche avenir.</w:t>
      </w:r>
    </w:p>
    <w:p>
      <w:r>
        <w:t>Regesto Art. 22ter Cost., art. 19, 20 LCIA (nel testo vigente sino a fine 1979); indennità per espropriazione materiale. Possibilità molto probabile di costruire in un futuro prossimo: soppressione di tale possibilità negata nella fattispecie, non essendo adempiute nel momento determinante - entrata in vigore di un piano di zone protette - le condizioni degli art. 19 segg. LCIA e non esistendo alcuna circostanza che imponesse imperativamente l'attribuzione del terreno litigioso alla zona edificabile. Il fatto che il progetto di un piano delle zone prevedesse di attribuire un terreno alla zona edificabile non consente di concludere che detto terreno sarebbe divenuto con grande probabilità edificabile in un prossimo futuro.</w:t>
      </w:r>
    </w:p>
    <w:p>
      <w:pPr>
        <w:pStyle w:val="Heading2"/>
      </w:pPr>
      <w:r>
        <w:t>Erwägungen</w:t>
      </w:r>
    </w:p>
    <w:p>
      <w:r>
        <w:rPr>
          <w:b/>
        </w:rPr>
        <w:t>E. 4</w:t>
      </w:r>
    </w:p>
    <w:p>
      <w:r>
        <w:t>a) Für die Prüfung der Frage der enteignungsähnlichen Wirkung ist das Verwaltungsgericht mit Recht vom Zeitpunkt der Rechtskraft des Schutzzonenplanes Lutzenland (20. Mai 1975) ausgegangen, stützen doch die Beschwerdeführer ihre Entschädigungsforderung auf den nach ihrer Auffassung durch den Schutzzonenplan erfolgten Entzug einer gegebenen bzw. in naher Zukunft mit hoher Wahrscheinlichkeit zu erwartenden Überbauungsmöglichkeit ihres Grundstückes. Entscheidend ist daher, ob am massgebenden Stichtag die bauliche Nutzung voraussehbar und mit hoher Wahrscheinlichkeit in naher Zukunft zu verwirklichen war, und ob diese Erwartung durch den Schutzzonenplan aufgehoben wurde. b) Für die Beantwortung dieser Frage ist in erster Linie auf die rechtlichen Gegebenheiten abzustellen. Dabei kommt dem Bundesrecht Vorrang zu. Es ist daher zu prüfen, ob am 20. Mai 1975 die Voraussetzungen des am 1. Juli 1972 in Kraft getretenen Gewässerschutzgesetzes (GSchG) erfüllt waren, um die fragliche Parzelle mit den geplanten Einfamilienhäusern zu überbauen. BGE 106 Ia 184 S. 186 aa) Gemäss Art. 19 und 20 GSchG in der hier anwendbaren, bis Ende 1979 geltenden Fassung dürfen Bewilligungen für den Neu- und Umbau von Bauten und Anlagen aller Art nur innerhalb der Bauzonen oder, wo solche fehlen, innerhalb des im generellen Kanalisationsprojekt (GKP) abgegrenzten Gebietes erteilt werden, wenn der Anschluss der Abwässer an die Kanalisation gewährleistet ist. Baubewilligungen für Gebäude und Anlagen ausserhalb der Bauzonen oder des im generellen Kanalisationsprojekt abgegrenzten Gebietes dürfen nur erteilt werden, sofern der Gesuchsteller ein sachlich begründetes Bedürfnis nachweist ( BGE 102 Ib 213 E. 1a mit Verweisungen). Mit dieser Regelung verfolgte der Gesetzgeber nicht nur Ziele des Gewässerschutzes, sondern auch der Raumplanung, indem er mit Rücksicht auf die vielfältigen öffentlichen Interessen, die auf dem Spiele stehen - rationelle Nutzung des Bodens, Erhaltung des Landwirtschaftsgebietes, Landschaftsschutz u.a.m. - die allgemeine bauliche Nutzung auf die hiefür planerisch bezeichneten Gebiete begrenzen wollte (BGE BGE 101 Ib 193 E. 2a). Welches sachlich begründete Bedürfnis Neu- oder Umbauten ausserhalb der Bauzonen bzw. des GKP zu rechtfertigen vermag, präzisierte Art. 27 AGSchV näher; primär geht es dabei um sogenannte standortgebundene Bauten. Ausdrücklich hält die Bestimmung fest, dass die Anschlussmöglichkeit an eine Kanalisation in keinem Fall die Erfordernisse für die Anerkennung des sachlich begründeten Bedürfnisses ersetzt. bb) Im vorliegenden Fall ist unbestritten, dass sich die Parzelle der Beschwerdeführer in keiner rechtsgültigen Bauzone befand, da die Gemeinde Herisau am 20. Mai 1975 über keinen Zonenplan - dieser trägt im Recht des Kantons Appenzell Ausser-Rhoden die Bezeichnung Bebauungsplan (Art. 112 Abs. 2 lit. e EG zum ZGB) - verfügte. Ein früherer, dem Baureglement vom 18. Mai 1914 beigegebener rudimentärer Zonenplan wurde mit dem Baureglement vom 13. Dezember 1970 aufgehoben (Art. 135), ohne dass gleichzeitig ein Bebauungsplan erlassen werden konnte. Im Zeitpunkt der Annahme des Schutzzonenplanes Lutzenland lag lediglich der Entwurf eines Bebauungsplanes vor. Nach diesem befand sich das von den Beschwerdeführern erworbene Land am Rande der Bauzone in der Ein- und Zweifamilienhauszone. Aus einem vom zuständigen Gemeindeorgan noch nicht angenommenen und vom Regierungsrat noch nicht BGE 106 Ia 184 S. 187 genehmigten Plan (Art. 124 EG zum ZGB) kann jedoch entgegen der Annahme der Beschwerdeführer nicht gefolgert werden, ihr Land befinde sich in einer Bauzone im Sinne der Art. 19 und 20 GSchG , und zwar auch dann nicht, wenn der aufgelegte, jedoch noch nicht rechtsverbindlich festgesetzte Plan von den Baubehörden der Gemeinde in der Zeit zwischen dem Erlass des Baureglementes und der Planfestsetzung für die Erteilung von Baubewilligungen innerhalb des durch das GKP abgegrenzten Gebietes, wie dies die Vertreter der Gemeinde am Augenschein anerkannt haben, als wegleitend konsultiert wurde. cc) Unbestritten ist ferner, dass die Parzelle der Beschwerdeführer ausserhalb des vom Regierungsrat am 19. Dezember 1960 genehmigten generellen Kanalisationsprojekts liegt. Der Gemeinderat beantragte zwar mit Schreiben vom 6. Januar 1971 an die kantonale Baudirektion dessen Erweiterung, worauf diese am 26. März 1971 antwortete, sie sei bereit, "die vorgesehene Zonenerweiterung amtsintern anzuerkennen und die Baugesuche im erweiterten Gebiet gleich denjenigen innerhalb genehmigtem GKP zu behandeln". Da jedoch der Bauzonenplan der Gemeinde Herisau noch nicht rechtskräftig und daher auch die Zonenerweiterung des GKP nicht endgültig sei, wolle sie auf das Begehren des Gemeinderates, die Genehmigung des Regierungsrates für die provisorische Zonenerweiterung des GKP einzuholen, zum jetzigen Zeitpunkt noch nicht eintreten. Gemäss der vom Gemeinderat beantragten Erweiterung des GKP wäre - was ebenfalls unbestritten ist - die Parzelle der Beschwerdeführer in das vom GKP erfasste Gebiet einbezogen worden. Die Beschwerdeführer sind daher der Meinung, zufolge der amtsinternen Anerkennung der vorgesehenen Erweiterung des GKP wäre der Erteilung der Baubewilligung ohne das Dazwischentreten der Lutzenland-Initiative nichts im Wege gestanden. Sie übersehen jedoch, dass am 1. Juli 1972 das neue eidgenössische Gewässerschutzgesetz in Kraft trat. Die im Jahre 1971 erfolgte amtsinterne Anerkennung der beantragten Erweiterung des GKP, die ausdrücklich als noch nicht endgültig bezeichnet wurde, vermochte keinesfalls von der Einhaltung der klaren Regeln des Gewässerschutzgesetzes über den Ausschluss der Überbaubarkeit des ausserhalb des GKP gelegenen Gebietes mit nicht standortgebundenen Bauten zu befreien. BGE 106 Ia 184 S. 188 Das Recht des Kantons Appenzell Ausser-Rhoden verlangte die Genehmigung der von den Gemeinden ausgearbeiteten generellen Kanalisationsprojekte durch den Regierungsrat (Art. 2 EG vom 27. April 1958 zum früheren GSchG). Ein im Hinblick auf die noch ausstehende Rechtskraft des Bebauungsplanes dem Regierungsrat nicht unterbreiteter Antrag der Gemeinde, das GKP zu erweitern, genügt daher nicht zur Annahme, das Grundstück der Beschwerdeführer sei im Sinne des Art. 19 GSchG innerhalb des GKP gelegen. Ein von dieser Rechtslage abweichendes Ergebnis wäre höchstens dann in Erwägung zu ziehen, wenn eine feste Praxis nachgewiesen wäre, dass die Behörden nach Inkrafttreten des GSchG auch ausserhalb des GKP von 1960 im Gebiet, dessen Einbezug der Gemeinderat in das GKP beantragt hatte, Baubewilligungen für andere als standortgebundene Bauten erteilt hätten. Dies trifft jedoch nicht zu, wie die von der bundesgerichtlichen Instruktionskommission verlangten Abklärungen ergeben haben. Gemäss der Auskunft des Gemeindebauamtes Herisau, an deren Vollständigkeit zu zweifeln entgegen der Meinung der Beschwerdeführer kein Anlass besteht, wurden im fraglichen Erweiterungsgebiet in der Zeit zwischen dem Inkrafttreten des Gewässerschutzgesetzes und der Rechtskraft des Bebauungsplanes (12. August 1975) einzig drei Bewilligungen erteilt, wovon die eine - freilich aus Gründen, die nicht mit dem GKP zusammenhängen - erst am 10. April 1976 rechtsgültig wurde. Die von den Beschwerdeführern angeführten drei weiteren Bewilligungen liegen in Gebieten mit Überbauungsplänen, welche der Gemeinderat aufgrund des früheren Baureglementes von 1914 rechtsverbindlich festsetzen konnte und die gemäss dem in der Gemeindeabstimmung vom 13. Dezember 1970 angenommenen neuen Baureglement ausdrücklich in Kraft blieben (Art. 135 Abs. 1). Derartige Überbauungspläne genügen, wie die Gemeinde zutreffend dargelegt hat, dem Begriff der Bauzone im Sinne des Gewässerschutzgesetzes. Sie kommen einer gemäss kantonalem Recht räumlich begrenzt angeordneten Bauzone gleich und entsprechen damit der raumplanerischen Zielsetzung der Art. 19 f. GSchG. dd) Die Parzelle der Beschwerdeführer liegt somit gewässerschutzrechtlich weder in einer Bauzone noch innerhalb des GKP und ist daher aufgrund der Art. 19 und 20 GSchG , wie das Obergericht zutreffend festgestellt hat, mit andern als BGE 106 Ia 184 S. 189 standortgebundenen Bauten nicht zu überbauen. Die Ausführungen des Obergerichts, wonach die Standortbedingtheit der terrassierten Einfamilienhäuser nicht hätte anerkannt werden können, decken sich mit der bundesgerichtlichen Rechtsprechung ( BGE 102 Ib 79 E. 4b). c) Es kann sich daher nur fragen, ob bei Inkrafttreten des Schutzzonenplanes Lutzenland besondere Umstände vorlagen, welche die Einzonung zwingend geboten hätten, so dass im Sinne der bundesgerichtlichen Rechtsprechung mit hoher Wahrscheinlichkeit in naher Zukunft die Überbauungsmöglichkeit zu bejahen war. In BGE 105 Ia 338 E. 3d wurde festgestellt, die Anwendung des Gewässerschutzgesetzes könne möglicherweise dann zu einer enteignungsähnlichen Wirkung führen, wenn baureifes oder grob erschlossenes Land, das innerhalb des mit den Anforderungen des Gewässerschutzgesetzes übereinstimmenden GKP liegt, nicht eingezont werde. Müsste im vorliegenden Fall angenommen werden, das Gewässerschutzgesetz gebiete eine Erweiterung des GKP im Sinne des vom Gemeinderat gestellten Antrages, so wäre möglicherweise die Nichteinzonung dem vom Bundesgericht erwähnten Ausnahmefall gleichzusetzen. Es fragt sich daher, ob das GKP den Anforderungen des Gewässerschutzgesetzes entspricht. Aus dem von der bundesgerichtlichen Instruktionskommission verlangten technischen Bericht über das GKP ergibt sich, dass Herisau im Jahre 1960 eine Bevölkerung von rund 14'800 Einwohnern aufwies und dass bei voller Überbauung des angenommenen Baulandes eine Einwohnerzahl von 27'000 erreicht werden kann. Gewiss muss bei der Würdigung derartiger Berechnungen berücksichtigt werden, dass das Mass der wirklichen Überbauung erfahrungsgemäss oft erheblich unter der möglichen Vollüberbauung bleibt. Dennoch erlauben die dem GKP zugrunde liegenden Annahmen die Folgerung, dass dieses keineswegs zu eng bemessen ist, soll es doch gemäss Art. 15 AGSchV , sofern keine Zonenplanung besteht, das überbaute und das innert höchstens 15 Jahren zur Erschliessung vorgesehene Baugebiet erfassen, dabei darf höchstens eine Verdoppelung der vorhandenen Bevölkerungszahl berücksichtigt werden. Dass Herisau mit einer besonders starken Bevölkerungszunahme rechnen müsste, kann aufgrund der Entwicklung der Vergangenen Jahre nicht angenommen werden, wies doch die Gemeinde nach den Angaben der Einwohnerkontrolle im Jahre BGE 106 Ia 184 S. 190 1965 lediglich 15'421 und im Jahre 1975 sogar bloss 15'074 Einwohner auf. Dass dieser Rückgang auf die ungenügende planerische Ausscheidung von Baugebiet zurückzuführen ist, kann angesichts der beachtlichen Reserven, die bei der Bemessung des Umfanges des GKP berücksichtigt wurden, nicht angenommen werden. Jedenfalls kann aufgrund dieser Bevölkerungszahl und deren Entwicklung nicht gefolgert werden, eine Erweiterung des GKP im Raume Egg/Lutzenland dränge sich gebieterisch auf. d) Diese Erwägungen schliessen auch die Annahme aus, eine Festlegung der Bauzone gemäss dem aufgelegten Bebauungsplan hätte sich aufgrund der baulichen und bevölkerungsmässigen Entwicklung der Gemeinde zwingend aufgedrängt. Der Behauptung der Beschwerdeführer, in Herisau sei zuwenig Land für Ein- und Zweifamilienhäuser ausgeschieden, kann angesichts der im GKP und dem angenommenen Bebauungsplan enthaltenen Reserven nicht gefolgt werden. Freilich begründete der Antrag des Gemeinderates, wie er im aufgelegten Bebauungsplan zum Ausdruck kam, die Hoffnung auf Einzonung des von den Beschwerdeführern erworbenen Landes. Doch vermag ein Antrag den Entscheid der für die Beschlussfassung über den Bebauungsplan zuständigen Stimmberechtigten der Gemeinde nicht zu binden. Muss zunächst ein Zonenplan angenommen werden, so schliesst dies in der Regel die Annahme aus, ein Grundstück sei in naher Zukunft mit hoher Wahrscheinlichkeit zu überbauen (unveröffentlichtes Urteil Schmid vom 11. Juli 1979, E. 6, S. 17). Wer Land in der Hoffnung erwirbt, die Stimmberechtigten würden den gestellten Antrag annehmen, handelt auf eigenes Risiko. Eine abweichende Annahme wäre mit der den Beschwerdeführern bekannten demokratischen Grundordnung der Gemeinden nicht vereinbar. Dass die mit dem Schutzzonenplan Lutzenland vorgenommene Begrenzung des Baugebietes in ortsplanerischer Sicht als sachgerecht zu bezeichnen ist, hat der Augenschein bestätigt. Das von den Beschwerdeführern erworbene Land liegt inmitten von landwirtschaftlich genutztem Areal. Auch unter diesem Gesichtspunkt liegen daher keine zwingenden Gründe vor, welche die Einzonung des von den Beschwerdeführern erworbenen Landes geboten hätten.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