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176 vom 1. Januar 1980</w:t>
      </w:r>
    </w:p>
    <w:p>
      <w:r>
        <w:t>Bundesgericht (BGE), 1980-01-01, DE</w:t>
      </w:r>
    </w:p>
    <w:p>
      <w:r>
        <w:rPr>
          <w:b/>
        </w:rPr>
        <w:t xml:space="preserve">Quelle: </w:t>
      </w:r>
      <w:r>
        <w:t>https://mcp.opencaselaw.ch/entscheid/bge_BGE_106_Ia_176</w:t>
      </w:r>
    </w:p>
    <w:p>
      <w:r>
        <w:t>FR: BGE BGE 106 Ia 176 du 1 janvier 1980</w:t>
      </w:r>
    </w:p>
    <w:p>
      <w:r>
        <w:t>IT: BGE BGE 106 Ia 176 del 1 gennaio 1980</w:t>
      </w:r>
    </w:p>
    <w:p>
      <w:pPr>
        <w:pStyle w:val="Heading2"/>
      </w:pPr>
      <w:r>
        <w:t>Regeste</w:t>
      </w:r>
    </w:p>
    <w:p>
      <w:r>
        <w:t>Regeste Art. 4 BV; interkantonale Zuständigkeit beim Vollzug einer Freiheitsstrafe in einem andern als dem Urteilskanton. Vereinbarung zwischen dem Urteils- und dem Vollzugskanton, dass für Entscheide über die Aushändigung von Druckschriften an eine bestimmte Strafgefangene die Behörden des Urteilskantons zuständig seien. Keine Verletzung von Art. 4 BV.</w:t>
      </w:r>
    </w:p>
    <w:p>
      <w:r>
        <w:t>Regeste Art. 4 Cst.; compétence intercantonale pour l'exécution d'une peine privative de liberté dans un autre canton que celui qui a rendu le jugement. Il n'y a pas violation de l'art. 4 Cst. lorsque le canton qui a rendu le jugement et celui où la peine est exécutée passent un accord selon lequel les autorités du premier canton sont compétentes pour prendre des décisions concernant la remise d'imprimés à un prisonnier.</w:t>
      </w:r>
    </w:p>
    <w:p>
      <w:r>
        <w:t>Regesto Art. 4 Cost.; competenza intercantonale nell'esecuzione di una pena privativa della libertà personale in un cantone diverso da quello in cui è stata pronunciata la condanna. Non viola l'art. 4 Cost. un accordo concluso tra il cantone in cui è stata pronunciata la condanna e quello in cui è eseguita la pena e secondo il quale competenti a decidere sulla consegna di stampati a un detenuto sono le autorità del cantone in cui è stata pronunciata la condanna.</w:t>
      </w:r>
    </w:p>
    <w:p>
      <w:pPr>
        <w:pStyle w:val="Heading2"/>
      </w:pPr>
      <w:r>
        <w:t>Erwägungen</w:t>
      </w:r>
    </w:p>
    <w:p>
      <w:r>
        <w:rPr>
          <w:b/>
        </w:rPr>
        <w:t>E. 3</w:t>
      </w:r>
    </w:p>
    <w:p>
      <w:r>
        <w:t>a) Zwischen den Behörden des Kantons Zürich und denjenigen des Kantons Bern liegt hinsichtlich der Frage, welcher Kanton zur Prüfung des für die Beschwerdeführerin bestimmten Lesestoffes zuständig sei, kein negativer Kompetenzkonflikt vor. Der Beschwerdeschrift und einem ihr beigelegten Schreiben des Polizeikommandos des Kantons Bern vom 6. März 1980 ist vielmehr zu entnehmen, dass diese Amtsstelle die für die Beschwerdeführerin bestimmten Broschüren geprüft und eine begründete Nichtzulassungsverfügung erlassen hat. Aus einem weiteren Schreiben der nämlichen Amtsstelle vom 13. März 1980 an die Bezirksanwaltschaft Winterthur geht sodann hervor, dass der Entscheid vom 6. März 1980 durch Beschwerde an den Polizeidirektor des Kantons Bern weitergezogen worden ist; über den Ausgang jenes Verfahrens ist nichts bekannt. Diese Tatsachen führen jedoch nicht ohne weiteres zur Abweisung der staatsrechtlichen Beschwerde gegen den Nichteintretensentscheid der Justizdirektion des Kantons Zürich in der gleichen Sache. Ergäbe sich nämlich, dass einzig die zürcherischen Behörden für die fragliche Prüfung zuständig gewesen wären, so könnte ihre Pflicht zur Ausübung ihrer Verwaltungshoheit durch den Entscheid eines anderen Kantons nicht hinfällig werden; dieser Entscheid hätte vielmehr unbeachtet zu bleiben. b) Indessen liegt ein Fall dieser Art hier nicht vor. Gemäss Art. 64bis BV und Art. 374 Abs. 1 StGB ist der Strafvollzug Sache der Kantone, wobei grundsätzlich jeder Kanton die von BGE 106 Ia 176 S. 178 seinen Gerichten gefällten Urteile zu vollziehen hat. Es ist unbestritten und ergibt sich zum Beispiel aus Art. 382 StGB , dass die Kantone berechtigt sind, Strafen, deren Vollzug ihnen obliegt, auch in Anstalten anderer Kantone vollstrecken zu lassen. Das Bundesrecht kennt keine Vorschriften darüber, welcher Kanton in solchen Fällen für bestimmte konkrete, mit dem Strafvollzug zusammenhängende Anordnungen zuständig sei. Einige interkantonale Konkordate enthalten in diese Richtung gehende Vorschriften, doch finden im vorliegenden Fall solche Bestimmungen keine Anwendung, da der Kanton Bern und der Kanton Zürich nicht dem nämlichen Konkordat angehören. Bei dieser Sachlage ist davon auszugehen, dass die Zuständigkeit für die während des Strafvollzugs notwendigen Entscheidungen (etwa über Besuche, Peculium, Briefzensur und zulässigen Lesestoff) durch Absprache zwischen den beteiligten Kantonen geregelt werden kann. Die Freiheit der Kantone auf diesem Gebiet ist einzig durch Art. 4 BV beschränkt. Demnach hat der Strafgefangene zunächst Anspruch darauf, dass die ihn betreffenden Entscheide nicht infolge eines negativen Kompetenzkonfliktes überhaupt nicht getroffen werden. Er kann weiter rechtsgleiche Behandlung mit anderen Gefangenen verlangen, und schliesslich kann er aufgrund des Willkürverbotes auch beanspruchen, dass den Besonderheiten seines Falles in angemessenem Rahmen Rechnung getragen wird. Dagegen ist nicht ersichtlich, worauf sich ein Anspruch stützen könnte, generell oder in einzelnen Punkten nicht der im einweisenden, sondern der im vollziehenden Kanton geltenden Ordnung unterstellt zu werden. c) Wenn sich die massgebenden Vollzugsbestimmungen in den beiden beteiligten Kantonen nicht völlig decken, so lässt sich allerdings der Grundsatz der Rechtsgleichheit nicht in jeder Hinsicht restlos wahren. Es ist unvermeidlich, dass der Gefangene dann nicht gleichzeitig den übrigen von den Gerichten des gleichen Kantons verurteilten Straffälligen und den anderen Insassen der Vollzugsanstalt völlig gleichgestellt werden kann. Vielmehr haben die Kantone unter sich zu vereinbaren, welches Regime für die einzelnen zu lösenden Fragen gelten soll. Erfolgt diese Regelung nach sachlichen Gesichtspunkten, so erscheint Art. 4 BV nicht als verletzt. Im vorliegenden Falle kann von einer Missachtung dieser Verfassungsvorschrift schon deshalb nicht gesprochen werden, weil die Justizdirektion BGE 106 Ia 176 S. 179 des Kantons Zürich im angefochtenen Entscheid anerkannt hat, dass in den ihr unterstellten Vollzugsanstalten keine Anordnungen anderer Kantone vollzogen würden, die im Kanton Zürich nicht ebenfalls hätten getroffen werden dürfen. Allgemein wird gesagt werden können, dass die Befugnis für Anordnungen, die durch die örtlichen Verhältnisse bedingt sind oder keinen Aufschub dulden, wie etwa die Art der Beschäftigung, die ärztliche Betreuung und ähnliches an den Vollzugskanton zu delegieren ist, dass aber nichts dagegen spricht, wenn die übrigen Kompetenzen weitgehend beim einweisenden Kanton verbleiben; denn dieser ist und bleibt in erster Linie für die Erreichung des Strafzweckes verantwortlich (Art. 37 Abs. 1 in Verbindung mit Art. 374 Abs. 1 StGB ). Dies gilt um so mehr, wenn der Strafvollzug in verschiedenen Anstalten durchgeführt werden soll, wie dies hier im Hinblick auf die besondere Gefährlichkeit der Beschwerdeführerin (vgl. dazu die Urteile des Bundesgerichts vom 7. Juni 1978 und vom 19. Dezember 1978) angeordnet worden ist. Gerade in einem Fall dieser Art ist es wichtig, dass trotz des Wechsels der Anstalten bei den Vollzugsanordnungen eine gewisse Einheitlichkeit gewahrt wird, da nur so zweckmässig auf eine Resozialisierung hingearbeitet werden kann. Aus allen diesen Gründen erweist sich die Vereinbarung zwischen den Kantonen Bern und Zürich, wonach die Aushändigung von Druckschriften an die Beschwerdeführerin im Zweifelsfalle von der Zustimmung der Vollzugsbehörde des einweisenden Kantons abhängig gemacht wird, als nicht willkürlich und demgemäss mit Art. 4 BV vereinbar, was die Abweisung der Beschwerde zur Folge hat. Über die Rechtmässigkeit der konkreten Zensurmassnahme ist im vorliegenden Verfahren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