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64</w:t>
      </w:r>
    </w:p>
    <w:p>
      <w:r>
        <w:t>Bundesgericht (BGE), 1980-01-01, DE</w:t>
      </w:r>
    </w:p>
    <w:p>
      <w:r>
        <w:rPr>
          <w:b/>
        </w:rPr>
        <w:t xml:space="preserve">Quelle: </w:t>
      </w:r>
      <w:r>
        <w:t>https://mcp.opencaselaw.ch/entscheid/bge_BGE_106_IV_64</w:t>
      </w:r>
    </w:p>
    <w:p>
      <w:r>
        <w:t>FR: ATF 106 IV 64</w:t>
      </w:r>
    </w:p>
    <w:p>
      <w:r>
        <w:t>IT: DTF 106 IV 64</w:t>
      </w:r>
    </w:p>
    <w:p>
      <w:pPr>
        <w:pStyle w:val="Heading2"/>
      </w:pPr>
      <w:r>
        <w:t>Regeste</w:t>
      </w:r>
    </w:p>
    <w:p>
      <w:r>
        <w:t>Regeste Art. 138 ff. VZV. Feststellung der Angetrunkenheit. Kann die Blutprobe nicht vorgenommen werden, besteht keine Pflicht, den Verdächtigten im Sinne von Art. 140 VZV ärztlich zu untersuchen.</w:t>
      </w:r>
    </w:p>
    <w:p>
      <w:r>
        <w:t>Regeste Art. 138 ss. OAC. Constatation de l'ébriété. Lorsque le prélèvement du sang ne peut intervenir, il n'existe aucune obligation de soumettre le suspect au sens de l'art. 140 OAC à l'examen du médecin.</w:t>
      </w:r>
    </w:p>
    <w:p>
      <w:r>
        <w:t>Regesto Art. 138 segg. OAC. Accertamento dell'ebrietà. Ove il prelievo del sangue non possa aver luogo, non esiste alcun obbligo di sottoporre la persona sospetta all'esame medico ai sensi dell'art. 140 OAC.</w:t>
      </w:r>
    </w:p>
    <w:p>
      <w:pPr>
        <w:pStyle w:val="Heading2"/>
      </w:pPr>
      <w:r>
        <w:t>Erwägungen</w:t>
      </w:r>
    </w:p>
    <w:p>
      <w:r>
        <w:rPr>
          <w:b/>
        </w:rPr>
        <w:t>E. 2</w:t>
      </w:r>
    </w:p>
    <w:p>
      <w:r>
        <w:t>Nach Art. 55 SVG sind Fahrzeugführer mit Anzeichen von Angetrunkenheit geeigneten Untersuchungen zu unterziehen. Als wichtigstes Beweismittel zur Feststellung der Angetrunkenheit erachtete der Bundesgesetzgeber die Blutprobe, weshalb sie in Art. 55 SVG besonders erwähnt und der Bundesrat angewiesen wurde, Vorschriften über das Vorgehen bei der Blutentnahme und die technische Auswertung der Blutprobe sowie über die zusätzliche ärztliche Untersuchung des Verdächtigten zu erlassen. Diese bundesrechtlichen Vorschriften über die Blutprobe sind in Art. 138-142 VZV enthalten. Sie sind im vorliegenden Fall aber nicht anwendbar, weil wegen der wiederholten und kategorischen Weigerung des Beschwerdeführers, sich der Blutentnahme zu unterziehen, eine Blutprobe nicht durchgeführt werden konnte. Entgegen der in der Beschwerde geäusserten Meinung waren daher die kantonalen Behörden nicht verpflichtet, den Beschwerdeführer - der Vorschrift des Art. 140 VZV entsprechend - durch den mit der Blutentnahme beauftragten Arzt auf medizinisch feststellbare Anzeichen von Angetrunkenheit untersuchen zu lassen. Dass diese im Zusammenhang mit der Blutprobe stehende zusätzliche ärztliche Untersuchung auch an Verdächtigten vorzunehmen sei, welche die Blutentnahme verweigern, wird in der Verordnung nirgends vorgeschrieben, auch in Art. 138 Abs. 6 VZV nicht. Davon abgesehen bestand auch Grund zur Annahme, der Beschwerdeführer werde sich ausser der Blutentnahme auch jeder anderen ärztlichen Kontrolle seines Alkoholisierungsgrades widersetzen.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