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370</w:t>
      </w:r>
    </w:p>
    <w:p>
      <w:r>
        <w:t>Bundesgericht (BGE), 1980-01-01, DE</w:t>
      </w:r>
    </w:p>
    <w:p>
      <w:r>
        <w:rPr>
          <w:b/>
        </w:rPr>
        <w:t xml:space="preserve">Quelle: </w:t>
      </w:r>
      <w:r>
        <w:t>https://mcp.opencaselaw.ch/entscheid/bge_BGE_106_IV_370</w:t>
      </w:r>
    </w:p>
    <w:p>
      <w:r>
        <w:t>FR: ATF 106 IV 370</w:t>
      </w:r>
    </w:p>
    <w:p>
      <w:r>
        <w:t>IT: DTF 106 IV 370</w:t>
      </w:r>
    </w:p>
    <w:p>
      <w:pPr>
        <w:pStyle w:val="Heading2"/>
      </w:pPr>
      <w:r>
        <w:t>Regeste</w:t>
      </w:r>
    </w:p>
    <w:p>
      <w:r>
        <w:t>Regeste Art. 237 StGB. Art. 237 Ziff. 1 Abs. 1 StGB ist auch anwendbar, wenn ein Automobilist in vorsätzlicher Missachtung des Haltezeichens eines auf der Fahrbahn stehenden Polizisten mit unverminderter Geschwindigkeit auf diesen zufährt und ihn dadurch der Gefahr aussetzt, überfahren zu werden (E. 2a).</w:t>
      </w:r>
    </w:p>
    <w:p>
      <w:r>
        <w:t>Regeste Art. 237 CP. L'art. 237 ch. 1 al. 1 CP est également applicable lorsqu'un automobiliste, ne tenant volontairement aucun compte d'un signal d'arrêt signifié par un agent de police placé sur la chaussée, se dirige vers celui-ci sans ralentir et le met ainsi en danger d'être écrasé (consid. 2 litt. a).</w:t>
      </w:r>
    </w:p>
    <w:p>
      <w:r>
        <w:t>Regesto Art. 237 CP. L'art. 237 n. 1 cpv. 1 CP è pure applicabile laddove un automobilista, non ottemperando volontariamente a un segnale di fermata intimatogli da un agente di polizia trovantesi sulla carreggiata, si dirige verso costui e lo espone cosi al pericolo d'essere investito (consid. 2a).</w:t>
      </w:r>
    </w:p>
    <w:p>
      <w:pPr>
        <w:pStyle w:val="Heading2"/>
      </w:pPr>
      <w:r>
        <w:t>Erwägungen</w:t>
      </w:r>
    </w:p>
    <w:p>
      <w:r>
        <w:rPr>
          <w:b/>
        </w:rPr>
        <w:t>E. 2</w:t>
      </w:r>
    </w:p>
    <w:p>
      <w:r>
        <w:t>Einzutreten ist auf die Rüge, die Vorinstanz habe in Verletzung von Art. 237 Ziff. 1 StGB dem Beschwerdeführer eine vorsätzliche Störung des öffentlichen Verkehrs vorgeworfen. a) Verbindlich ist festgestellt, dass R. den in seiner Fahrbahn stehenden Polizisten erblickte, dessen Haltezeichen erkannte und trotzdem in unverminderter Geschwindigkeit auf ihn zufuhr. Mit dieser Verhaltensweise ist der Tatbestand des Art. 237 Ziff. 1 StGB erfüllt. Denn diese Bestimmung schützt Leib und Leben von Menschen, die sich im öffentlichen Verkehr befinden ( BGE 100 IV 55 ). Am öffentlichen Verkehr nimmt ebenfalls ein Polizeimann teil, der auf der Strasse seinen Dienst versieht ( BGE 81 IV 124 ). Indem der Beschwerdeführer entgegen dem Haltezeichen in unverminderter Geschwindigkeit auf den Polizisten losfuhr, bestand für diesen ohne Zweifel auch die nahe und ernstliche Wahrscheinlichkeit, überfahren zu werden. Der Polizist S. vermochte sich den Feststellungen der Vorinstanz zufolge dieser Gefahr nämlich nur dadurch zu entziehen, dass er beiseite sprang. Somit hat R. den öffentlichen Verkehr gefährdet (vgl. BGE 85 IV 137 f.). b) Daran vermag auch sein Einwand, von einer wissentlichen und willentlichen Gefährdung des Polizisten S. könne im vorliegenden Fall keine Rede sein, nichts zu ändern. Die Vorinstanz hat - als tatsächliche Feststellung - den Gefährdungsvorsatz bejaht, und zwar zu Recht: R. sah den Polizisten in seiner Fahrbahn stehen und er verstand dessen Haltezeichen. Daher hat er die durch seine Tat herbeigeführte Gefahr gekannt, und weil er trotzdem weiterfuhr, sie auch gewollt ( BGE 100 IV 218 ). Ebenfalls unbehelflich ist schliesslich das Argument, die Vorinstanz habe das für die Anwendung des Art. 237 Ziff. 1 StGB notwendige Erfordernis der Rücksichtslosigkeit des Fahrzeugführers nicht festgestellt. Ob die Rücksichtslosigkeit nach der Rechtsprechung des Bundesgerichts tatsächlich zu den Tatbestandsmerkmalen des Art. 237 Ziff. 1 StGB gehört, wie der Beschwerdeführer unter Berufung auf BGE 76 IV 274 behauptet, BGE 106 IV 370 S. 372 kann dahingestellt bleiben. Sicher ist, dass die Vorinstanz den Beschwerdeführer, wenn auch nicht ausdrücklich, so doch durch die Schilderung des Sachverhalts und durch den Hinweis auf sein schweres Verschulden und seine Einsichtslosigkeit einer rücksichtslosen Verhaltensweise bezichtigte, und dies mit Grund. Offensichtlich war R., wie sich aus seiner Darstellung der Vorgänge in den beiden Beschwerdeschriften ergibt, über die polizeiliche Anhaltung und die Wartezeit schwer verärgert und fühlte sich schikaniert. Dazu kam, dass er nach langer Bergtour nach Hause gelangen wollte und wohl auch von der Aussicht auf die Rechnung der Rettungsaktion wenig erbaut war. Dass er sich aber deswegen verleiten liess, einen Polizeibeamten willentlich zu gefährden, trägt gerade dem Beschwerdeführer als Arzt zu Recht den Vorwurf erheblicher Rücksichtslosigkeit 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