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321</w:t>
      </w:r>
    </w:p>
    <w:p>
      <w:r>
        <w:t>Bundesgericht (BGE), 1980-01-01, DE</w:t>
      </w:r>
    </w:p>
    <w:p>
      <w:r>
        <w:rPr>
          <w:b/>
        </w:rPr>
        <w:t xml:space="preserve">Quelle: </w:t>
      </w:r>
      <w:r>
        <w:t>https://mcp.opencaselaw.ch/entscheid/bge_BGE_106_IV_321</w:t>
      </w:r>
    </w:p>
    <w:p>
      <w:r>
        <w:t>FR: ATF 106 IV 321</w:t>
      </w:r>
    </w:p>
    <w:p>
      <w:r>
        <w:t>IT: DTF 106 IV 321</w:t>
      </w:r>
    </w:p>
    <w:p>
      <w:pPr>
        <w:pStyle w:val="Heading2"/>
      </w:pPr>
      <w:r>
        <w:t>Regeste</w:t>
      </w:r>
    </w:p>
    <w:p>
      <w:r>
        <w:t>Regeste Art. 40 StGB; Art. 3 EMRK; Garantie der persönlichen Freiheit. Pflege und Heilung eines kranken Strafgefangenen sind grundsätzlich im Rahmen des gegebenenfalls modifizierten Strafvollzugs durchzuführen. Eine Ausnahme von der Regel ist nur dort geboten, wo die Erkrankung derart ist, dass eine vollständige Straferstehungsunfähigkeit von unabsehbarer oder mindestens langer Dauer vorliegt und die Freilassung sich derart aufdrängt, dass die mit dem Strafvollzug angestrebten Ziele gänzlich der Notwendigkeit von Pflege und Heilung weichen müssen. Dabei darf bei schwerer Delinquenz auch dem erhöhten Schutzbedürfnis der Gemeinschaft Rechnung getragen werden.</w:t>
      </w:r>
    </w:p>
    <w:p>
      <w:r>
        <w:t>Regeste Art. 40 CP; art. 3 CEDH; garantie de la liberté personnelle. Le traitement et la guérison d'un prisonnier malade doivent être assurés en principe dans le cadre de l'exécution de la peine adaptée dans la mesure nécessaire. Une exception n'est possible que là où la maladie est d'une nature telle qu'elle entraîne une incapacité de subir l'incarcération complète et définitive ou tout au moins de longue durée et là où la mise en liberté apparaît à ce point nécessaire que les buts poursuivis par l'exécution de la peine doivent céder le pas aux exigences du traitement pour assurer la guérison. En cas de délit grave, il faut toutefois tenir compte du besoin accru de protection de la collectivité.</w:t>
      </w:r>
    </w:p>
    <w:p>
      <w:r>
        <w:t>Regesto Art. 40 CP; art. 3 CEDU; garanzia della libertà personale. Il trattamento e la guarigione di un detenuto devono aver luogo, in linea di principio, nel quadro dell'esecuzione, modificata nella misura necessaria, della pena. Un'eccezione si giustifica soltanto laddove una malattia sia di natura tale da comportare una completa incapacità, di durata indeterminabile o quanto meno lunga, di subire la carcerazione e la liberazione appaia cosi necessaria da far prevalere le esigenze del trattamento e della guarigione sugli scopi perseguiti dall'esecuzione della pena. In caso di reati gravi va tuttavia tenuto conto anche dell'accresciuto bisogno di protezione della collettività.</w:t>
      </w:r>
    </w:p>
    <w:p>
      <w:pPr>
        <w:pStyle w:val="Heading2"/>
      </w:pPr>
      <w:r>
        <w:t>Erwägungen</w:t>
      </w:r>
    </w:p>
    <w:p>
      <w:r>
        <w:rPr>
          <w:b/>
        </w:rPr>
        <w:t>E. 7</w:t>
      </w:r>
    </w:p>
    <w:p>
      <w:r>
        <w:t>Der Beschwerdeführer rügt schliesslich eine Verletzung von Art. 40 StGB , von Art. 3 EMRK und einen Verstoss gegen die Garantie der persönlichen Freiheit. Der in der erstgenannten Bestimmung enthaltene Begriff der wichtigen Gründe sei ein unbestimmter Rechtsbegriff, dessen Inhalt unter Berücksichtigung der erwähnten Freiheitsrechte auszulegen sei. Im vorliegenden Fall sei dem Umstand Rechnung zu tragen, dass die Gesundheit des Beschwerdeführers so angeschlagen sei, dass nicht nur die Gefahr nicht wiedergutzumachender Schäden bestehe, sondern auch eine Gefahr für das Leben des Beschwerdeführers, indem dieser infolge der psychischen Schädigung die Kontrolle über sich verlieren und Selbstmord begehen könnte. Die Weiterführung des Strafvollzugs bedeute eine Bestätigung dieser Schädigung und verhindere die Heilung. Dann aber sei der Strafvollzug mit der Garantie der persönlichen Freiheit und Art. 3 EMRK unvereinbar, und es müsse die Strafe gemäss Art. 40 StGB unterbrochen werden; darin liege nämlich ein wichtiger Grund im Sinne dieser Bestimmung. Eine andere Möglichkeit gebe es nicht, so dass auch das Prinzip der Verhältnismässigkeit einen Strafunterbruch verlange. Die von der Vorinstanz angeführte Interessenabwägung mit dem Interesse des Staates nach öffentlicher Sicherheit könne nicht dazu führen, dass ein Sträfling gesundheitlich "kaputtgeht oder gar stirbt". Im übrigen sei der Hinweis auf die öffentliche Sicherheit absurd, wenn man bedenke, dass der Beschwerdeführer wegen seiner angeschlagenen Gesundheit gar nicht mehr die Kraft habe, die öffentliche Sicherheit zu gefährden. a) Art. 40 StGB bestimmt in Absatz 1, der Vollzug einer Freiheitsstrafe dürfe nur aus wichtigen Gründen unterbrochen werden, und in Absatz 2, der Aufenthalt in einer Heil- oder Pflegeanstalt, in welche der Verurteilte während des Vollzuges verbracht werden müsse, sei grundsätzlich auf die Strafe anzurechnen. Den genannten Bestimmungen ist kein Grundsatz zu entnehmen, demzufolge eine vorhandene Hafterstehungsunfähigkeit BGE 106 IV 321 S. 324 zwingend zur Unterbrechung des Strafvollzugs führen müsste. Es ergibt sich aus ihnen vielmehr, dass eine Freiheitsstrafe grundsätzlich ohne Unterbruch zu vollstrecken ist. Der wegen einer während des Strafvollzuges aufgetretenen Erkrankung in eine Heil- oder Pflegeanstalt verbrachte Strafgefangene wird für die Dauer seines dortigen Aufenthaltes regelmässig nicht hafterstehungsfähig, d.h. fähig sein, die Strafe in der bisherigen Weise an sich vollziehen zu lassen. Die Anrechnung eines solchen Aufenthaltes auf die Strafe macht somit deutlich, dass Pflege und Heilung eines kranken Strafgefangenen grundsätzlich im Rahmen eines gegebenenfalls modifizierten Strafvollzuges durchzuführen sind. Diese gesetzgeberische Tendenz findet folgerichtig ihren Niederschlag darin, dass der Bundesrat gemäss Art. 397bis Abs. 1 lit. g StGB zum Erlass ergänzender Bestimmungen über den Vollzug von Strafen und Massnahmen an kranken, gebrechlichen oder betagten Personen befugt ist und diese Kompetenz nunmehr auch den Kantonen zusteht ( Art. 6 Abs. 1 VStGB 1 ). Es widerspricht deshalb Art. 40 StGB nicht, wenn die zuständige Behörde ohne Unterbrechung des Strafvollzugs anderweitig für die Gesundheit eines kranken Strafgefangenen sorgt, z.B. durch Einweisung in eine Heil- oder Pflegeanstalt. Eine Ausnahme von der Regel ist nur dort geboten, wo die Erkrankung derart ist, dass eine vollständige Straferstehungsunfähigkeit von unabsehbarer oder mindestens langer Dauer vorliegt und die Freilassung sich derart aufdrängt, dass der Gesichtspunkt des Strafvollzugs gänzlich der Notwendigkeit von Pflege und Heilung weichen muss. Wo jedoch neben einer zweckentsprechenden therapeutischen Behandlung auch die Möglichkeit und Gewähr für eine den Umständen angemessene Weiterführung der Strafe besteht, hat eine Unterbrechung ihres Vollzugs zu unterbleiben ( BGE 103 Ib 186 und nicht veröffentlichte Erwägungen; s. auch VEB 26 Nr. 70 und dortige Verweisungen; BBl 1949 I S. 1275). Diese Voraussetzung hat das Bundesgericht selbst im Falle einer Strafgefangenen, die an einer lebensgefährdenden Krebserkrankung litt, bejaht. Dabei darf auch den für den Betroffenen mit der Fortsetzung des Strafvollzuges verbundenen Risiken das Interesse der Öffentlichkeit an der Aufrechterhaltung der Haft gegenübergestellt werden. Schwere Delinquenz ruft einem erhöhten Schutzbedürfnis der Gemeinschaft und verlangt deshalb besondere Zurückhaltung in der Anwendung von Art. 40 StGB . BGE 106 IV 321 S. 325 Wo die zuständige Behörde nach diesen Grundsätzen verfährt, kann deshalb von einer Verletzung der Garantie der persönlichen Freiheit, des Prinzips der Verhältnismässigkeit und des Art. 3 EMRK , dessen Gewährleistung übrigens über den Schutz der Garantien der BV nicht hinausgeht ( BGE 102 Ia 283 ), keine Rede sein. b) Im vorliegenden Fall ist die Justizdirektion von diesen Grundsätzen ausgegangen und hat sie auch zutreffend angewendet. Gutachter und behandelnde Ärzte sind (auch nach dem letzten Stand der Dinge) der Meinung, dass die Krankheitserscheinungen beim Beschwerdeführer nicht ein solches Ausmass erreichen, dass der Strafvollzug unterbrochen werden müsste. Nach den bereits erwähnten vom Bundesgericht erhobenen ergänzenden Akten schlugen nach Fällung des angefochtenen Entscheides der Anstaltsarzt Dr. Pestalozzi und der Anstaltspsychiater Dr. Reller zwar Verbesserungen im Haftregime vor, hielten aber eine völlige Freilassung des Beschwerdeführers nicht für geboten. Haftverbesserungen sind von der zuständigen Behörde bereits angeordnet worden, auch wenn diese nicht in einer von den Ärzten zunächst angeregten Verlegung des Beschwerdeführers in den Verwahrungsbau der Anstalt bestehen. Indem die Behörde versucht, die Haftbedingungen Stürms so zu gestalten, dass nicht nur dem Heilungs- sondern auch dem Sicherungsbedürfnis Rechnung getragen wird, handelt sie sachgemäss und in Übereinstimmung mit dem Grundsatz der Verhältnismässigkeit. Was in der Beschwerde dagegen vorgebracht wird, kommt gegenüber dem Befund der Ärzte, der eine Weiterführung des Strafvollzugs in einer den gesundheitlichen Gegebenheiten des Beschwerdeführers und dem öffentlichen Sicherheitsinteresse angemessenen Form zulässt,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