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236</w:t>
      </w:r>
    </w:p>
    <w:p>
      <w:r>
        <w:t>Bundesgericht (BGE), 1980-01-01, DE</w:t>
      </w:r>
    </w:p>
    <w:p>
      <w:r>
        <w:rPr>
          <w:b/>
        </w:rPr>
        <w:t xml:space="preserve">Quelle: </w:t>
      </w:r>
      <w:r>
        <w:t>https://mcp.opencaselaw.ch/entscheid/bge_BGE_106_IV_236</w:t>
      </w:r>
    </w:p>
    <w:p>
      <w:r>
        <w:t>FR: ATF 106 IV 236</w:t>
      </w:r>
    </w:p>
    <w:p>
      <w:r>
        <w:t>IT: DTF 106 IV 236</w:t>
      </w:r>
    </w:p>
    <w:p>
      <w:pPr>
        <w:pStyle w:val="Heading2"/>
      </w:pPr>
      <w:r>
        <w:t>Regeste</w:t>
      </w:r>
    </w:p>
    <w:p>
      <w:r>
        <w:t>Regeste Art. 13 StGB. Rechtsmittel bei psychiatrischer Begutachtung. 1. Kritik an einem psychiatrischen Gutachten und an dessen Würdigung durch den kantonalen Richter ist mit staatsrechtlicher Beschwerde zu erheben. 2. Ob der Geisteszustand des Täters zur Zeit der Tat noch dem anlässlich einer früheren Begutachtung festgestellten Zustand entspreche oder nicht, ist Tatfrage, die mit der eidgenössischen Nichtigkeitsbeschwerde nicht aufgeworfen werden kann. Mit diesem Rechtsmittel kann lediglich geltend gemacht werden, wegen der Veränderung des Geisteszustandes des Täters seit der letzten Begutachtung hätte eine neue psychiatrische Expertise eingeholt werden müssen.</w:t>
      </w:r>
    </w:p>
    <w:p>
      <w:r>
        <w:t>Regeste Art. 13 CP. Voies de droit en cas d'expertise psychiatrique. 1. Les griefs portant sur la valeur d'une expertise psychiatrique ou sur son interprétation par l'autorité cantonale doivent être formulés dans le cadre d'un recours de droit public. 2. Savoir si l'état mental de l'auteur, lorsqu'il a agi, correspondait ou non à celui qui était le sien lors d'une précédente expertise est une question de fait qui ne peut faire l'objet d'un pourvoi en nullité devant le Tribunal fédéral. Cette voie de droit permet seulement de faire valoir que la modification de l'état mental de l'auteur, depuis la précédente expertise, nécessite qu'une nouvelle expertise soit mise en oeuvre.</w:t>
      </w:r>
    </w:p>
    <w:p>
      <w:r>
        <w:t>Regesto Art. 13 CP. Rimedi di diritto in caso di perizia psichiatrica. 1. Le censure concernenti il valore di una perizia psichiatrica o la sua interpretazione da parte dell'autorità cantonale vanno fatte valere con ricorso di diritto pubblico. 2. La questione se lo stato mentale dell'agente al momento del reato corrispondesse o no a quello accertato in occasione di una precedente perizia è una questione di fatto, che non può quindi costituire oggetto di un ricorso per cassazione avanti il Tribunale federale. Con questo rimedio di diritto può soltanto addursi che, in seguito alla modifica dello stato mentale dell'agente, intervenuta dopo la precedente perizia, s'imponeva l'effettuazione di una nuova perizia.</w:t>
      </w:r>
    </w:p>
    <w:p>
      <w:pPr>
        <w:pStyle w:val="Heading2"/>
      </w:pPr>
      <w:r>
        <w:t>Erwägungen</w:t>
      </w:r>
    </w:p>
    <w:p>
      <w:r>
        <w:rPr>
          <w:b/>
        </w:rPr>
        <w:t>E. 1</w:t>
      </w:r>
    </w:p>
    <w:p>
      <w:r>
        <w:t>Das Obergericht hat wie bereits das Bezirksgericht Zürich als erste Instanz dem Angeschuldigten eine leicht verminderte Zurechnungsfähigkeit zugebilligt, die Voraussetzungen für ärztliche Behandlungsmassnahmen im Sinne von Art. 43 StGB aber verneint. Dabei stützte sich das Gericht auf ein Gutachten der Psychiatrischen Universitätsklinik Zürich vom 31. Mai 1977, das aus Anlass eines gegen K. durchgeführten Strafverfahrens wegen wiederholten Diebstahls, wiederholter Entwendung eines Motorfahrzeugs zum Gebrauch etc. eingeholt worden war. Der Gutachter hatte beim damals 21jährigen K. Schwachsinn leichten Grades (Debilität) und psychischen Infantilismus festgestellt; der infantil-debilen Persönlichkeitsstruktur könne kaum mit medizinischen Massnahmen, wohl aber mit psychagogisch-pädagogischer Führung entgegengewirkt werden. Da das Gericht diese Expertise als nach wie vor gültig erachtete, lehnte es den Antrag der Verteidigung auf eine neue Begutachtung des K. ab.</w:t>
      </w:r>
    </w:p>
    <w:p>
      <w:r>
        <w:rPr>
          <w:b/>
        </w:rPr>
        <w:t>E. 2</w:t>
      </w:r>
    </w:p>
    <w:p>
      <w:r>
        <w:t>In der Nichtigkeitsbeschwerde wird zur Hauptsache ausgeführt, das alte Gutachten, auf welches die Vorinstanz abgestellt hat, sei in Beurteilung und Schlussfolgerung zwiespältig und fragwürdig. Die neueste Entwicklung von K. liesse seine Vergangenheit und seine Persönlichkeitsstruktur in einem BGE 106 IV 236 S. 238 neuen Licht erscheinen. Die früher diagnostizierte Debilität erscheine als sehr zweifelhaft, weshalb sich eine neue Begutachtung geradezu aufdränge, vor allem im Hinblick auf die Behandlung der offensichtlichen Depressionen, welche augenscheinlich zu den letzten Delikten geführt hätten. Verschiedene Umstände vor und nach der Begutachtung liessen erneut grössten Zweifel am Grad der Zurechnungsfähigkeit in bezug auf die neuen Delikte und an der Zweckmässigkeit einer Massnahme offen. a) Soweit der Beschwerdeführer mit diesen Ausführungen Kritik an Qualität und Inhalt des Gutachtens aus dem Jahre 1977 übt und geltend macht, die Vorinstanz habe wegen der angeblichen Mängel der Expertise auf diese nicht abstellen dürfen, kann auf die Nichtigkeitsbeschwerde nicht eingetreten werden. Ob ein Gericht die im Gutachten enthaltenen Erörterungen betreffend Einsichts- und Bestimmungsfähigkeit sowie Massnahmebedürftigkeit des Täters für überzeugend hält oder nicht und ob es dementsprechend den diesbezüglichen Schlussfolgerungen des Experten folgen oder aber eine Oberexpertise anordnen soll, ist nach der neueren Rechtsprechung des Bundesgerichts eine Frage der Beweiswürdigung, die mit der staatsrechtlichen Beschwerde wegen Verletzung von Art. 4 BV (Willkür) aufgeworfen werden kann, so dass gemäss Art. 269 Abs. 2 BStP für die Nichtigkeitsbeschwerde kein Raum bleibt ( BGE 105 IV 161 , 103 Ia 57, BGE 106 IV 97 ). b) Mit der Nichtigkeitsbeschwerde kann hingegen geltend gemacht werden, es hätte ein neues Gutachten eingeholt werden müssen, weil Geisteszustand und Persönlichkeitsstruktur des Angeschuldigten sich in der seit der letzten Begutachtung verstrichenen Zeit geändert hätten, die Expertise somit nicht mehr richtig, sondern überholt sei. Denn ein Gutachten kann sich grundsätzlich nur über den Geisteszustand des Exploranden zur Zeit der vor der Begutachtung begangenen Delikte äussern. Nur insoweit, nicht auch hinsichtlich des Geisteszustandes des Täters bei den nach der Begutachtung begangenen Taten, ist es Beweismittel. Ob eine Expertise auch für diese noch gültig sei, hängt davon ab, ob und in welcher Weise sich der Geisteszustand des Täters seit der letzten Begutachtung verändert habe. Feststellungen des Sachrichters über die Weiterdauer oder eine allfällige Änderung des früheren Geisteszustandes des Täters sind tatsächlicher Natur und daher mit BGE 106 IV 236 S. 239 Nichtigkeitsbeschwerde nicht anfechtbar. Mit dieser kann nur gerügt werden, die festgestellten Veränderungen hätten zwingend eine neue Begutachtung erfordert.</w:t>
      </w:r>
    </w:p>
    <w:p>
      <w:r>
        <w:rPr>
          <w:b/>
        </w:rPr>
        <w:t>E. 3</w:t>
      </w:r>
    </w:p>
    <w:p>
      <w:r>
        <w:t>a) Eine entscheidende Veränderung des Geisteszustandes des Täters im Zeitpunkt seiner neuen Delikte im Jahre 1979 im Vergleich zum Geisteszustand, wie er im Gutachten aus dem Jahre 1977 festgestellt wurde, wird in der Nichtigkeitsbeschwerde nirgendwo ausdrücklich behauptet; es wird lediglich ausgeführt, die neuen Taten des K. zeigten, dass die Schlussfolgerungen jenes Gutachtens nicht richtig gewesen seien. Immerhin deuten einige Bemerkungen des Beschwerdeführers darauf hin, dass er sich zumindest eventualiter auch auf eine Veränderung der Persönlichkeitsstruktur beruft und dass seines Erachtens auch aus diesem Grunde eine neue Expertise hätte eingeholt werden müssen. So führt er aus, die im Jahre 1977 beurteilte Diebstahlsserie habe den Anschein üblicher Verwahrlosungsdelikte eines Jugendlichen gemacht, während die heute zu beurteilenden Delikte im Gegensatz dazu eine auffallende psychische Abnormität des Täters offenbarten und gleichsam einen Aufschrei eines tief depressiv veranlagten hilflosen Menschen an die Aussenwelt darstellten. b) Die Vorinstanz hat sich in ihrem Urteil eingehend mit der Frage auseinandergesetzt, ob das Gutachten aus dem Jahre 1977 auch für die von K. als 23jähriger Mann im Jahre 1979 verübten Straftaten noch Gültigkeit habe oder ob es zufolge einer entscheidenden Veränderung der Persönlichkeitsstruktur des Täters in diesen beiden Jahren überholt sei. Das Obergericht kam, ohne sich in unzulässiger Weise die Beantwortung ihm nicht geläufiger Fachfragen anzumassen, zum Schluss, die neuen Taten seien Ausdruck der Debilität und des psychischen Infantilismus des Täters, die in jenem Gutachten diagnostiziert worden waren. Alles spreche dafür, dass K. sich seit der letzten Expertise nicht wesentlich verändert habe, was übrigens auch nicht erstaunlich sei, seien doch diese neuen Straftaten nur zwei Jahre nach der Begutachtung verübt worden. In der Tat hatte die Vorinstanz keinen ernsthaften Anlass, an der unveränderten Gültigkeit der in der Expertise gezogenen Schlussfolgerungen zu zweifeln. Mit den Einbrüchen, bei denen er übrigens oft sehr ungeschickt vorging, wollte K. nach eigenen Angaben seinen Kollegen imponieren und sich selbst bestätigen; BGE 106 IV 236 S. 240 einzelne Einbrüche verübte er, weil seine Freundin ihn verlassen hatte. Diese Straftaten waren, wie im Gutachten umschrieben, Handlungen eines kindlich-naiven, leicht beeinflussbaren, stark von dem ihn jeweils bestimmenden Milieu abhängigen Mannes, der seinem kindlichen Geltungsbedürfnis mit rationalen Überlegungen kaum ausreichend entgegenzutreten vermag. Entsprach somit die Persönlichkeitsstruktur des Täters im Jahre 1979 offensichtlich der in der Expertise festgestellten, so durfte die Vorinstanz ohne Verletzung von Art. 13 StGB auf eine erneute Begutachtung verzichten.</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