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179</w:t>
      </w:r>
    </w:p>
    <w:p>
      <w:r>
        <w:t>Bundesgericht (BGE), 1980-01-01, DE</w:t>
      </w:r>
    </w:p>
    <w:p>
      <w:r>
        <w:rPr>
          <w:b/>
        </w:rPr>
        <w:t xml:space="preserve">Quelle: </w:t>
      </w:r>
      <w:r>
        <w:t>https://mcp.opencaselaw.ch/entscheid/bge_BGE_106_IV_179</w:t>
      </w:r>
    </w:p>
    <w:p>
      <w:r>
        <w:t>FR: ATF 106 IV 179</w:t>
      </w:r>
    </w:p>
    <w:p>
      <w:r>
        <w:t>IT: DTF 106 IV 179</w:t>
      </w:r>
    </w:p>
    <w:p>
      <w:pPr>
        <w:pStyle w:val="Heading2"/>
      </w:pPr>
      <w:r>
        <w:t>Regeste</w:t>
      </w:r>
    </w:p>
    <w:p>
      <w:r>
        <w:t>Regeste Art. 32 StGB. Rechtfertigungsgrund der Amtspflicht. Wer in amtlicher Funktion ehrenrührige Fakten erwähnen und persönliche Eigenschaften und Motive werten muss, ist durch Art. 32 StGB gedeckt, soweit er nicht über das Notwendige hinausgeht oder wider besseres Wissen handelt.</w:t>
      </w:r>
    </w:p>
    <w:p>
      <w:r>
        <w:t>Regeste Art. 32 CP. Licéité des actes commis dans l'exercice de la fonction. Celui qui, dans l'exercice d'une fonction, doit faire état de circonstances contraires à l'honneur et qui doit porter un jugement de valeur sur les circonstances personnelles et les motifs d'autrui, est protégé par l'art. 32 CP, dans la mesure où il ne va pas au-delà de ce qui est nécessaire et ne connaît pas la fausseté de ses allégations.</w:t>
      </w:r>
    </w:p>
    <w:p>
      <w:r>
        <w:t>Regesto Art. 32 CP. Liceità degli atti commessi nell'esercizio di una funzione ufficiale. Chi, nell'esercizio di una funzione ufficiale, deve menzionare fatti disonorevoli e valutare circostanze e motivi personali, è tutelato dall'art. 32 CP nella misura in cui non ecceda quanto necessario e non sappia di dire cosa non vera.</w:t>
      </w:r>
    </w:p>
    <w:p>
      <w:pPr>
        <w:pStyle w:val="Heading2"/>
      </w:pPr>
      <w:r>
        <w:t>Erwägungen</w:t>
      </w:r>
    </w:p>
    <w:p>
      <w:r>
        <w:rPr>
          <w:b/>
        </w:rPr>
        <w:t>E. 1</w:t>
      </w:r>
    </w:p>
    <w:p>
      <w:r>
        <w:t>Die inkriminierte Äusserung steht in einem "Erkanntnis" (Strafverfügung) des Amtsstatthalters, das insgesamt fünf BGE 106 IV 179 S. 181 Seiten umfasst. Es wird darin einlässlich dargelegt, aus welchen Gründen das Vorgehen Anton Achermanns gegen die Vorschriften des Wirtschaftsgesetzes verstosse. Der letzte Passus über die Strafzumessung hat folgenden Wortlaut: "Bei der Strafzumessung ist zu berücksichtigen, dass sich der Angeschuldigte bedenkenlos über die ihm bestens bekannten Vorschriften hinwegsetzte und versuchte das Gesetz zu umgehen. Dabei ist in Betracht zu ziehen, dass die zuständigen Behörden dem Begehren des Angeschuldigten sehr weit entgegengekommen sind. Dessen ungeachtet setzte er sich über die klaren Bestimmungen hinweg. Schliesslich ist nicht zu übersehen, dass der Angeschuldigte aus reiner Profitgier gehandelt hat."</w:t>
      </w:r>
    </w:p>
    <w:p>
      <w:r>
        <w:rPr>
          <w:b/>
        </w:rPr>
        <w:t>E. 3</w:t>
      </w:r>
    </w:p>
    <w:p>
      <w:r>
        <w:t>Die Vorinstanz ging davon aus, der Vorwurf des Handelns aus reiner Profitgier oder Gewinnsucht sei objektiv ehrenrührig, Büttiker habe den objektiven Tatbestand der üblen Nachrede ( Art. 173 StGB ) erfüllt. Sie kam jedoch zum Schluss, es handle sich um eine Äusserung in Ausübung der Amtspflicht zur Begründung eines Straferkenntnisses und Amtsstatthalter Büttiker habe dabei den ihm zustehenden Spielraum nicht überschritten, die von ihm gewählte Formulierung zur Begründung der hohen Busse erscheine als in guten Treuen vertretbar und sei daher durch den Rechtfertigungsgrund der Amtspflicht gemäss Art. 32 StGB gedeckt. a) Während die sachliche Feststellung, die Übertretung des Wirtschaftsgesetzes sei erfolgt, um Gewinn zu erzielen, den Ruf des Täters als ehrbarer Mensch nicht tangieren könnte, hat das Obergericht mit Recht den Vorwurf des Handelns aus reiner Profitgier als ehrverletzend betrachtet; denn als "Profitgier" wird ein übermässiges, die üblichen Schranken überschreitendes, krass egoistisches Streben nach Gewinn bezeichnet. b) Zutreffend nahm das Obergericht an, es müsse zunächst geprüft werden, ob die inkriminierte Äusserung durch die Amtspflicht gerechtfertigt sei, der allgemeine Rechtfertigungsgrund habe den Vorrang vor dem Entlastungsbeweis gemäss Art. 173 Ziff. 2 StGB , der nur zum Zuge kommen könne, wenn die Straflosigkeit sich nicht bereits aus einem Rechtfertigungsgrund des Allgemeinen Teils ergebe (L. FREI, Der Entlastungsbeweis nach Art. 173 Ziff. 2 und 3 StGB ..., Diss. Bern 1976 S. 99). Zur Amtspflicht gehört auch die Verpflichtung von Gerichten und Verwaltungsbehörden, ihre Entscheide zu begründen. BGE 106 IV 179 S. 182 Bei der Motivierung von Entscheidungen müssen vielfach ehrenrührige Tatsachen (z.B. negative Angaben über Vorleben und Leumund) erwähnt oder zusammenfassende Werturteile (z.B. Würdigung der charakterlichen Zuverlässigkeit eines Gesuchstellers im Bewilligungsverfahren) abgegeben werden. Soweit solche an sich die Ehre des Betroffenen verletzenden Äusserungen mit dem Gegenstand des Entscheides direkt zusammenhängen und der notwendigen Begründung dienen, sind sie durch die Amtspflicht gedeckt. Der begründende Richter oder Beamte kann sich auf Art. 32 StGB berufen; für die sachbezogenen Argumente, die er in einer vertretbaren Weise und nicht unnötig verletzend darlegt, kann er nicht wegen übler Nachrede gemäss Art. 173 StGB verfolgt und allenfalls zur Leistung des Entlastungsbeweises gezwungen werden (vgl. Frei a.a.O. S. 87). Wer in seiner amtlichen Funktion auch ehrenrührige Fakten zusammenstellen und Wertungen über persönliche Eigenschaften und Motive abgeben muss, ist durch Art. 32 StGB gedeckt, soweit er mit seinen Äusserungen nicht eindeutig über das für die Erfüllung seiner Aufgabe Notwendige hinausgeht oder Behauptungen wider besseres Wissen aufstellt. Was im Rahmen der Amtspflicht zur Begründung eines Entscheides vorgebracht wird, unterliegt der Überprüfung durch obere Instanzen (im Rechtsmittelverfahren), kann aber nicht durch eine Ehrverletzungsklage zum Gegenstand eines Entlastungsbeweises gemacht werden. c) Im vorliegenden Fall ist als Ehrverletzung eine kurze sachbezogene Äusserung des Amtsstatthalters Büttiker eingeklagt, mit welcher dieser die von ihm für angemessen erachtete Busse begründete. Amtsgericht und Obergericht sind der Auffassung des Amtsstatthalters nicht gefolgt, sie hielten Achermann offenbar zugute, dass er auch aus anderen Motiven gehandelt haben könnte. Die Annahme Büttikers, die Übertretung des Wirtschaftsgesetzes sei aus reiner Profitgier erfolgt, wurde in klarer Weise korrigiert. Eine Äusserung, die im Rahmen der Amtspflicht erfolgt ist und eine sachbezogene Motivation enthält, bleibt aber durch Art. 32 StGB gedeckt, auch wenn das darin enthaltene wertende Urteil von der Rechtsmittelinstanz als unrichtig erklärt und nicht übernommen wird. Es wäre eine unhaltbare Konsequenz, wenn in solchen Fällen die materielle Korrektur eines die Ehre tangierenden Werturteils durch die Rechtsmittelinstanz den Weg für einen Ehrverletzungsprozess BGE 106 IV 179 S. 183 gegen den Erstrichter öffnete, wobei die ungünstige Beurteilung nur straflos bleiben könnte, wenn es gelänge, für die von der Rechtsmittelinstanz abgelehnte Annahme zumindest den Gutgläubigkeitsbeweis im Sinne von Art. 173 Ziff. 2 StGB zu erbringen. Art. 32 StGB schützt den Beamten, der bei der Ausübung seines Amtes Verhaltensweisen bewerten und sich über Umstände äussern muss, die den Ruf eines Menschen tangieren können, vor der Bedrohung mit Ehrverletzungsklagen. Büttiker hat mit dem Vorwurf des Handelns aus reiner Profitgier einen Vorwurf erhoben, welcher der Überprüfung durch die obern Instanzen nicht standhielt. Die Äusserung erfolgte jedoch sachbezogen und in Ausübung der Amtspflicht. Es handelt sich um eine wohl etwas scharf formulierte, aber vertretbare Stellungnahme im Rahmen eines amtlichen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