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255</w:t>
      </w:r>
    </w:p>
    <w:p>
      <w:r>
        <w:t>Bundesgericht (BGE), 1980-01-01, DE</w:t>
      </w:r>
    </w:p>
    <w:p>
      <w:r>
        <w:rPr>
          <w:b/>
        </w:rPr>
        <w:t xml:space="preserve">Quelle: </w:t>
      </w:r>
      <w:r>
        <w:t>https://mcp.opencaselaw.ch/entscheid/bge_BGE_106_II_255</w:t>
      </w:r>
    </w:p>
    <w:p>
      <w:r>
        <w:t>FR: ATF 106 II 255</w:t>
      </w:r>
    </w:p>
    <w:p>
      <w:r>
        <w:t>IT: DTF 106 II 255</w:t>
      </w:r>
    </w:p>
    <w:p>
      <w:pPr>
        <w:pStyle w:val="Heading2"/>
      </w:pPr>
      <w:r>
        <w:t>Regeste</w:t>
      </w:r>
    </w:p>
    <w:p>
      <w:r>
        <w:t>Regeste Art. 55 Abs. 1 lit. d, 156 Abs. 6 und 159 Abs. 5 OG. Missbrauch der Versehensrüge durch die obsiegende Partei; Kosten- und Entschädigungsfolgen.</w:t>
      </w:r>
    </w:p>
    <w:p>
      <w:r>
        <w:t>Regeste Art. 55 al. 1 lettre d, 156 al. 6 et 159 al. 5 OJ. Grief d'inadvertance invoqué abusivement par la partie qui obtient gain de cause; conséquences pour les frais et dépens.</w:t>
      </w:r>
    </w:p>
    <w:p>
      <w:r>
        <w:t>Regesto Art. 55 cpv. 1 lett. d, 156 cpv. 6, 159 cpv. 5 OG. Censura relativa a pretese sviste sollevata abusivamente dalla parte vittoriosa; effetti sulle spese e ripetibili.</w:t>
      </w:r>
    </w:p>
    <w:p>
      <w:pPr>
        <w:pStyle w:val="Heading2"/>
      </w:pPr>
      <w:r>
        <w:t>Erwägungen</w:t>
      </w:r>
    </w:p>
    <w:p>
      <w:r>
        <w:rPr>
          <w:b/>
        </w:rPr>
        <w:t>E. 2</w:t>
      </w:r>
    </w:p>
    <w:p>
      <w:r>
        <w:t>Ausführungen darüber, dass die Berufungsschrift der Beklagten zahlreiche Rügen enthält, die sich in unzulässiger Kritik an der Beweiswürdigung des Obergerichts erschöpfen, dass die Berufung an sich aber begründet und die Klage daher abzuweisen ist.</w:t>
      </w:r>
    </w:p>
    <w:p>
      <w:r>
        <w:rPr>
          <w:b/>
        </w:rPr>
        <w:t>E. 3</w:t>
      </w:r>
    </w:p>
    <w:p>
      <w:r>
        <w:t>(Idem)</w:t>
      </w:r>
    </w:p>
    <w:p>
      <w:r>
        <w:rPr>
          <w:b/>
        </w:rPr>
        <w:t>E. 4</w:t>
      </w:r>
    </w:p>
    <w:p>
      <w:r>
        <w:t>Beim Entscheid über die Gerichtskosten und bei der Bemessung der Parteientschädigung ist zu berücksichtigen, dass die Begründung der Berufung sich fast zur Hälfte gegen die vorinstanzliche Beweiswürdigung richtet, welche der Vertreter der Beklagten unter Missbrauch der Versehensrüge ( Art. 55 Abs. 1 lit. d OG ) anzufechten suchte ( Art. 156 Abs. 6 und Art. 159 Abs. 5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