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250</w:t>
      </w:r>
    </w:p>
    <w:p>
      <w:r>
        <w:t>Bundesgericht (BGE), 1980-01-01, FR</w:t>
      </w:r>
    </w:p>
    <w:p>
      <w:r>
        <w:rPr>
          <w:b/>
        </w:rPr>
        <w:t xml:space="preserve">Quelle: </w:t>
      </w:r>
      <w:r>
        <w:t>https://mcp.opencaselaw.ch/entscheid/bge_BGE_106_II_250</w:t>
      </w:r>
    </w:p>
    <w:p>
      <w:r>
        <w:t>FR: ATF 106 II 250</w:t>
      </w:r>
    </w:p>
    <w:p>
      <w:r>
        <w:t>IT: DTF 106 II 250</w:t>
      </w:r>
    </w:p>
    <w:p>
      <w:pPr>
        <w:pStyle w:val="Heading2"/>
      </w:pPr>
      <w:r>
        <w:t>Regeste</w:t>
      </w:r>
    </w:p>
    <w:p>
      <w:r>
        <w:t>Regeste Wirkung der Unterbrechung der Verjährung (Art. 136 Abs. 1 OR; Art. 83 Abs. 2 SVG). 1. Art. 83 Abs. 2 SVG bezieht sich auf die nach Inkrafttreten dieser Gesetzesbestimmung bewirkten Unterbrechungshandlungen, und zwar auch dann, wenn es sich um Ansprüche handelt, die vor dem Inkrafttreten entstanden sind (Bestätigung der Rechtsprechung; E. 2). 2. Gemäss Art. 83 Abs. 2 SVG wirkt die Unterbrechung der Verjährung gegenüber dem Versicherer auch gegenüber dem Haftpflichtigen, jedoch nur bis zur Höhe des Betrages, für welchen die Versicherung die Ansprüche des Geschädigten deckt (E. 3).</w:t>
      </w:r>
    </w:p>
    <w:p>
      <w:r>
        <w:t>Regeste Effets des actes interruptifs de prescription (art. 136 al. 1er CO, art. 83 al. 2 LCR). 1. L'art. 83 al. 2 LCR s'applique aux actes interruptifs de prescription accomplis après son entrée en vigueur, même s'ils portent sur des prétentions découlant d'accidents antérieurs à cette date (confirmation de jurisprudence; consid. 2). 2. En vertu de l'art. 83 al. 2 LCR, la prescription interrompue à l'égard de l'assureur l'est également envers le responsable, mais à concurrence seulement de la somme pour laquelle l'assurance couvre les droits de la victime (consid. 3).</w:t>
      </w:r>
    </w:p>
    <w:p>
      <w:r>
        <w:t>Regesto Effetti degli atti interruttivi della prescrizione (art. 136 cpv. 1 CO, art. 83 cpv. 2 LCS). 1. L'art. 83 cpv. 2 LCS si applica agli atti interruttivi della prescrizione effettuati prima della sua entrata in vigore, anche se essi concernono pretese derivanti da infortuni anteriori a tale data (conferma della giurisprudenza) (consid. 2). 2. In virtù dell'art. 83 cpv. 2 LCS, la prescrizione interrotta nei confronti dell'assicuratore è interrotta altresì nei confronti del responsabile, ma soltanto sino a concorrenza della somma per la quale l'assicurazione copre i diritti della vittima (consid. 3).</w:t>
      </w:r>
    </w:p>
    <w:p>
      <w:pPr>
        <w:pStyle w:val="Heading2"/>
      </w:pPr>
      <w:r>
        <w:t>Erwägungen</w:t>
      </w:r>
    </w:p>
    <w:p>
      <w:r>
        <w:rPr>
          <w:b/>
        </w:rPr>
        <w:t>E. 1</w:t>
      </w:r>
    </w:p>
    <w:p>
      <w:r>
        <w:t>Le demandeur fonde son action sur l' art. 398 CO . Il estime que le défendeur a violé ses obligations de mandataire en laissant se prescrire les créances qu'il était chargé de faire valoir contre les responsables de l'accident, René T. et William L. La cour cantonale a jugé que les prétentions du demandeur contre René T. et William L. étaient soumises aux règles de prescription de l' art. 83 LCR . Le demandeur n'avait eu une connaissance exacte de son dommage qu'en automne 1968 et le délai ordinaire de deux ans avait donc expiré bien après la révocation du mandat confié au défendeur. Le délai subsidiaire de dix ans était certes échu le 9 février 1969, pendant la durée du mandat, mais le défendeur avait interrompu la prescription le 28 avril 1967 en faisant citer en conciliation la compagnie Vaudoise-Assurances. L'acte dirigé contre l'assureur avait produit effet à l'égard des personnes responsables, conformément à l' art. 83 al. 2 LCR . Le défendeur avait dès lors sauvegardé les droits de son mandant et il n'avait pas à l'avertir du danger de la prescription, car l'échéance des délais n'était pas imminente lors de la révocation du mandat. La cour cantonale a rejeté l'action, le défendeur n'ayant pas manqué à son devoir de diligence.</w:t>
      </w:r>
    </w:p>
    <w:p>
      <w:r>
        <w:rPr>
          <w:b/>
        </w:rPr>
        <w:t>E. 2</w:t>
      </w:r>
    </w:p>
    <w:p>
      <w:r>
        <w:t>Bien que les art. 58 à 89 LCR ne fussent entrés en vigueur qu'après l'accident, le 1er janvier 1960, la cour cantonale a appliqué à juste titre l' art. 83 à la prescription des créances que le défendeur était chargé de faire valoir. La disposition précitée renvoie en effet au code des obligations pour toutes les questions qu'elle ne règle pas expressément (al. 4). Le renvoi englobe les règles générales du droit transitoire et notamment l'art. 49 du titre final du code civil. Cet article règle la prescription des droits lorsqu'elle n'est pas encore acquise, d'après la loi ancienne, au moment de l'entrée en force de la loi nouvelle. Il s'applique donc en l'espèce. Selon son alinéa premier, les créances anciennes sont soumises aux délais de prescription de la loi nouvelle s'ils sont de cinq ans ou davantage, mais le juge doit tenir compte du temps écoulé sous l'empire de l'ancien droit. Cela signifie que les prétentions du demandeur se prescrivaient par dix ans, comme l' art. 83 al. 1 LCR le prévoit à titre subsidiaire; le délai courait du jour de l'accident et expirait le 9 février 1969. L'alinéa 3 de l'art. 49 du titre final dispose que, pour BGE 106 II 250 S. 253 le reste, la prescription est régie par la loi nouvelle dès son entrée en vigueur. Partant, la loi nouvelle s'applique aux actes interruptifs de prescription exécutés sous son empire. On doit dès lors apprécier d'après l' art. 83 al. 2 LCR les effets qu'a eus envers les responsables de l'accident l'acte de procédure accompli contre l'assureur le 28 avril 1967. Le demandeur objecte en vain que selon l' art. 61 al. 3 OAV , les règles de la loi sur la circulation routière ne s'appliquent pas à la responsabilité et à l'assurance pour les dommages survenus avant leur entrée en vigueur. A l' art. 107 LCR , le législateur a chargé le Conseil fédéral de fixer la date d'entrée en vigueur de la loi (al. 1); il l'a autorisé à arrêter les dispositions transitoires nécessaires, mais non pas à déroger aux règles légales (al. 2). Or en matière de prescription, le conflit des lois dans le temps est réglé par les art. 83 al. 4 LCR et 49 du titre final du code civil, à l'application desquels l' art. 61 al. 3 OAV ne saurait faire obstacle ( ATF 90 II 330 ).</w:t>
      </w:r>
    </w:p>
    <w:p>
      <w:r>
        <w:rPr>
          <w:b/>
        </w:rPr>
        <w:t>E. 3</w:t>
      </w:r>
    </w:p>
    <w:p>
      <w:r>
        <w:t>Le code des obligations dispose à l'art. 136 al. 1 que la prescription interrompue envers l'un des débiteurs solidaires l'est également à l'égard de tous les autres. Cet article ne s'applique toutefois pas au simple concours d'actions, appelé parfois solidarité imparfaite ( ATF 104 II 231 ss consid. 4b; ATF 69 II 166 ss consid. 1). Or il n'y a solidarité parfaite entre plusieurs débiteurs que si la loi ou la convention le prévoit ( art. 143 CO ). La loi sur la circulation routière crée un tel lien entre les personnes répondant du dommage causé par un accident (art. 60 al. 1, 61 al. 3); entre les responsables et leur assureur, elle n'a prévu qu'un simple concours d'actions, auquel l' art. 136 al. 1 CO n'est en soi pas applicable ( ATF 90 II 190 s.; ATF 69 II 166 ss consid. 1). C'est pour cette raison que la commission du Conseil des Etats a proposé l'introduction de l' art. 83 al. 2 LCR , selon lequel la prescription interrompue à l'égard du responsable ou de son assureur l'est également envers l'autre (Bull. stén. CE 1958 p. 128 s.). L' art. 83 al. 2 LCR a donc pour but d'étendre au concours des actions contre le responsable et son assureur les effets que l' art. 136 al. 1 CO attache à la solidarité parfaite. Partant, un acte interruptif de prescription accompli contre l'assureur sortit pour le responsable les mêmes effets que si les deux débiteurs étaient tenus solidairement; il n'en produit toutefois pas plus. L' art. 136 al. 1 CO ne s'applique qu'aux débiteurs tenus solidairement BGE 106 II 250 S. 254 ou aux codébiteurs d'une prestation indivisible. L'extension qu'il apporte aux effets d'un acte interruptif de prescription est donc liée à la solidarité des débiteurs ou à l'indivisibilité de la dette. Or il n'y a solidarité entre débiteurs qu'autant que le créancier peut exiger de chacun d'eux, à son choix, la prestation qui lui est due ( art. 143 al. 1, art. 144 CO ). On peut fort bien concevoir que l'obligation d'un des codébiteurs soit limitée à un montant déterminé, notamment s'il a repris cumulativement mais partiellement la dette d'autrui. En pareil cas, la solidarité n'existe et ne produit ses effets qu'à concurrence de ce montant. L'acte dirigé contre l'un seul de plusieurs débiteurs solidaires n'interrompt donc la prescription à l'égard des autres que pour le montant dont répond le débiteur visé. Pour agir avec plein effet envers tous ses obligés, le créancier doit s'en prendre à l'un de ceux qui sont tenus au paiement du tout. Ni le texte ni le but de l' art. 83 al. 2 LCR ne permettent d'attacher au concours des actions contre le responsable et son assureur plus d'effets que n'en a la solidarité parfaite. La prescription interrompue à l'égard de l'assureur ne l'est donc envers le responsable qu'à concurrence de la somme pour laquelle l'assurance couvre les droits de la victime (BUSSY, FJS 920 p. 4, p. 16; CHÂTELAIN, L'action directe du lésé contre l'assureur, p. 132 s.; SCHLEGEL/GIGER, Strassenverkehrsgesetz, 3e éd.; p. 263 s.; contra OFTINGER, Haftpflichtrecht, 2e éd., t. II/2 p. 684). Cette somme était en l'espèce de 50'000 fr. et a été payée. La prescription interrompue par la citation en conciliation du 28 avril 1967 ne l'a donc pas été pour la partie du dommage dépassant 50'000 fr. En agissant contre l'assureur seulement, le défendeur a laissé se prescrire le droit que le demandeur avait de réclamer à René T. et William L. la réparation du reliquat de son dommage. Le jugement attaqué doit être annulé et la cause renvoyée à l'autorité cantonale qui déterminera si sont réunies les autres conditions d'une action en responsabilité contre le défendeur.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