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 155</w:t>
      </w:r>
    </w:p>
    <w:p>
      <w:r>
        <w:t>Bundesgericht (BGE), 1980-01-01, DE</w:t>
      </w:r>
    </w:p>
    <w:p>
      <w:r>
        <w:rPr>
          <w:b/>
        </w:rPr>
        <w:t xml:space="preserve">Quelle: </w:t>
      </w:r>
      <w:r>
        <w:t>https://mcp.opencaselaw.ch/entscheid/bge_BGE_106_II_155</w:t>
      </w:r>
    </w:p>
    <w:p>
      <w:r>
        <w:t>FR: ATF 106 II 155</w:t>
      </w:r>
    </w:p>
    <w:p>
      <w:r>
        <w:t>IT: DTF 106 II 155</w:t>
      </w:r>
    </w:p>
    <w:p>
      <w:pPr>
        <w:pStyle w:val="Heading2"/>
      </w:pPr>
      <w:r>
        <w:t>Regeste</w:t>
      </w:r>
    </w:p>
    <w:p>
      <w:r>
        <w:t>Regeste Personalfürsorgestiftungen. Verrechenbarkeit von Verantwortlichkeitsansprüchen der Stiftung gegen ein Mitglied des Stiftungsrats mit dessen Ansprüchen als Destinatär.</w:t>
      </w:r>
    </w:p>
    <w:p>
      <w:r>
        <w:t>Regeste Fondations de prévoyance en faveur du personnel. Possibilité de compenser des créances de la fondation découlant de la responsabilité civile d'un membre du conseil de fondation avec les créances de ce membre comme destinataire.</w:t>
      </w:r>
    </w:p>
    <w:p>
      <w:r>
        <w:t>Regesto Fondazioni di previdenza a favore del personale. Possibilità di compensare crediti della fondazione risultanti dalla responsabilità civile di un membro del consiglio di fondazione con crediti spettanti a tale membro quale destinatario delle prestazioni della fondazione.</w:t>
      </w:r>
    </w:p>
    <w:p>
      <w:pPr>
        <w:pStyle w:val="Heading2"/>
      </w:pPr>
      <w:r>
        <w:t>Erwägungen</w:t>
      </w:r>
    </w:p>
    <w:p>
      <w:r>
        <w:rPr>
          <w:b/>
        </w:rPr>
        <w:t>E. 6</w:t>
      </w:r>
    </w:p>
    <w:p>
      <w:r>
        <w:t>Bezüglich des Beschwerdeführers 2, dessen Destinatäreigenschaft unbestritten ist, stellt sich zunächst die grundsätzliche Frage, ob eine Personalfürsorgeeinrichtung die Forderungen ihrer Destinatäre mit ihren Gegenforderungen verrechnen dürfe. Das Eidgenössische Justiz- und Polizeidepartement führte in seiner Vernehmlassung aus, diese Frage sei umstritten; sie werde von RIEMER (Die Verrechnungseinrede der Personalfürsorgestiftung gegenüber Forderungen ihrer Destinatäre, SJZ 75/1979, S. 341 ff.) verneint, von STREIFF (Leitfaden zum neuen Arbeitsvertragsrecht, 3. Aufl. N. 9 zu Art. 331c OR ) dagegen bejaht. Soweit sich diese Meinungsäusserung auf RIEMER bezieht, ist sie mit bezug auf Fälle der vorliegenden Art falsch. RIEMER unterscheidet in seiner Abhandlung zunächst zwischen Forderungen, die immer nur der Stiftung zugestanden haben, und solchen, die ihr vom Arbeitgeber oder von Dritten abgetreten worden sind. Verantwortlichkeitsansprüche sind Forderungen der erstgenannten Art. Sodann unterscheidet RIEMER die Fälle, in denen die Verrechnung nach oder vor Eintritt des Vorsorgefalles geltend gemacht wird. Im vorliegenden Fall wird sie vor Eintritt des Vorsorgefalles geltend gemacht. Für diesen Fall unterscheidet RIEMER weiter, ob die Stiftung ihre Schuldpflicht nach Art. 331c Abs. 1 OR (Begründung einer Forderung auf künftige Vorsorgeleistungen) oder nach Art. 331c Abs. 4 OR (Barauszahlung) erfülle. Im vorliegenden Fall ist vorgesehen, dass die Destinatäre in bar abgefunden BGE 106 II 155 S. 157 werden. Für diesen Fall schreibt RIEMER ausdrücklich, die Verrechnung sei auch bei Verweigerung der Zustimmung des Arbeitnehmers zulässig (a.a.O., S. 343/44). Auch nach STREIFF ist sie nicht verboten. Der Auffassung dieser beiden Autoren ist beizutreten. Anders als beim Lohn ( Art. 323b Abs. 2 OR ) hat der Gesetzgeber bei den Leistungen der Personalfürsorgeeinrichtung nur die Abtretung und Verpfändung, nicht aber die Verrechenbarkeit ausdrücklich ausgeschlossen ( Art. 331c Abs. 2 OR ). Selbst eine Lohnforderung darf mit Gegenforderungen des Arbeitgebers verrechnet werden, soweit sie das Existenzminimum überschreitet. Ersatzforderungen für absichtlich zugefügten Schaden darf der Arbeitgeber mit Lohnforderungen des Arbeitnehmers sogar unbeschränkt verrechnen ( Art. 323b Abs. 2 OR ). Unter diesen Umständen ist nicht einzusehen, weshalb Verantwortlichkeitsansprüche der Stiftung gegenüber einem Destinatär, der als Stiftungsrat für das Stiftungsvermögen mitverantwortlich war, nicht mit dessen Destinatäransprüchen sollten verrechnet werden dürfen. Eine solche Verrechnung muss jedenfalls dann zulässig sein, wenn die Stiftung, wie im vorliegenden Fall, ausschliesslich vom Arbeitgeber gespiesen wurde. Indem die Stiftung, der Bezirksrat und der Regierungsrat die Verrechnung im vorliegenden Fall zuliessen, verletzten sie demnach das Bundesrecht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