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62</w:t>
      </w:r>
    </w:p>
    <w:p>
      <w:r>
        <w:t>Bundesgericht (BGE), 1980-01-01, DE</w:t>
      </w:r>
    </w:p>
    <w:p>
      <w:r>
        <w:rPr>
          <w:b/>
        </w:rPr>
        <w:t xml:space="preserve">Quelle: </w:t>
      </w:r>
      <w:r>
        <w:t>https://mcp.opencaselaw.ch/entscheid/bge_BGE_106_III_62</w:t>
      </w:r>
    </w:p>
    <w:p>
      <w:r>
        <w:t>FR: ATF 106 III 62</w:t>
      </w:r>
    </w:p>
    <w:p>
      <w:r>
        <w:t>IT: DTF 106 III 62</w:t>
      </w:r>
    </w:p>
    <w:p>
      <w:pPr>
        <w:pStyle w:val="Heading2"/>
      </w:pPr>
      <w:r>
        <w:t>Regeste</w:t>
      </w:r>
    </w:p>
    <w:p>
      <w:r>
        <w:t>Regeste Privilegierte Anschlusspfändung (Art. 111 SchKG). 1. Die Bestimmung, dass die Dauer eines Prozess- oder Betreibungsverfahrens nicht in Berechnung fällt, gilt nur für die einjährige Frist des zweiten Satzes von Art. 111 Abs. 1 SchKG (E. 1). 2. Nur die rechtzeitig erhobene Klage hält die provisorische Teilnahme an der Pfändung aufrecht; der Ansprecher, der die Klagefrist von Art. 111 Abs. 3 SchKG versäumt, hat sein Recht auf Geltendmachung des privilegierten Pfändungsanschlusses verwirkt (E. 2).</w:t>
      </w:r>
    </w:p>
    <w:p>
      <w:r>
        <w:t>Regeste Participation à la saisie sans poursuite préalable (art. 111 LP). 1. La règle selon laquelle la durée d'un procès ou d'une poursuite n'est pas prise en considération, ne s'applique qu'au délai d'un an prévu à l'art. 111 al. 1er, 2e phrase LP (consid. 1). 2. L'introduction de l'action en temps utile permet seule le maintien de la participation provisoire à la saisie; le requérant qui laisse passer le délai d'action prévu à l'art. 111 al. 3 LP est déchu de son droit de participer à la saisie sans poursuite préalable (consid. 2).</w:t>
      </w:r>
    </w:p>
    <w:p>
      <w:r>
        <w:t>Regesto Partecipazione al pignoramento senza esecuzione preventiva (art. 111 LEF). 1. La norma secondo cui la durata di un processo o di un'esecuzione non è computata si applica soltanto al termine di un anno previsto dall'art. 111 cpv. 1 seconda frase LEF (consid. 1). 2. Solo l'azione promossa tempestivamente permette di mantenere la partecipazione provvisoria al pignoramento; l'istante che lascia trascorrere infruttuosamente il termine per agire stabilito dall'art. 111 cpv. 3 LEF decade dal diritto di partecipare al pignoramento senza esecuzione preventiva (consid. 2).</w:t>
      </w:r>
    </w:p>
    <w:p>
      <w:pPr>
        <w:pStyle w:val="Heading2"/>
      </w:pPr>
      <w:r>
        <w:t>Erwägungen</w:t>
      </w:r>
    </w:p>
    <w:p>
      <w:r>
        <w:rPr>
          <w:b/>
        </w:rPr>
        <w:t>E. 1</w:t>
      </w:r>
    </w:p>
    <w:p>
      <w:r>
        <w:t>Die Vorinstanz einerseits und die Rekurrentin anderseits legen den dritten Satz von Art. 111 Abs. 1 SchKG verschieden aus. Während diese sich auf den Standpunkt stellt, die BGE 106 III 62 S. 65 Bestimmung, dass die Dauer eines Prozess- oder Betreibungsverfahrens nicht in Berechnung falle, gelte auch für den ersten Satz von Art. 111 Abs. 1 SchKG - also die vierzigtägige Frist -, will das Obergericht sie nur auf die einjährige Frist des zweiten Satzes bezogen wissen. Zutreffend ist die Auffassung der Vorinstanz. Bereits in BGE 41 III 249 E. 2 hat das Bundesgericht festgehalten, dass nur die einjährige Frist um die Dauer eines mit der privilegierten Anschlusspfändung in Beziehung stehenden Prozesses erstreckt werde. Diese Praxis steht in Übereinstimmung mit der allgemein strengen Handhabung der Frist für die Erklärung der Anschlusspfändung (vgl. für die dreissigtägige Frist gemäss Art. 110 SchKG BGE 104 III 52 , wo die Auffassung, dass die Frist erst zu laufen beginne, nachdem das Urteil rechtskräftig geworden sei, ebenfalls abgelehnt wird; ferner BGE 85 III 169 ). Die Literatur hat sich der Auffassung des Bundesgerichts angeschlossen (RAGGENBASS, Die privilegierte Anschlusspfändung nach schweizerischem Recht, Diss. Freiburg 1944, S. 90; OTT, Die privilegierte Anschlusspfändung des Ehegatten nach schweizerischem Schuldbetreibungsrecht, in: ZSR 37/1918, S. 312, 315 f.). Mit der Frage, zu welchem Ergebnis eine gegenteilige Auffassung führen müsste, hat sich das Bundesgericht in BGE 38 I 241 auseinandergesetzt. Es hat dort insbesondere ausgeführt, dass der nicht privilegierte Gläubiger, der seinerseits einen Aberkennungsprozess mit dem Schuldner führt und provisorisch gepfändet hat, im ungewissen über den wirtschaftlichen Erfolg bliebe; denn selbst wenn der Prozess zugunsten des Gläubigers ausginge, müsste dieser jederzeit mit dem Auftreten des nach Art. 111 SchKG privilegierten Gläubigers rechnen, der ihn wegen des Vorranges bei der Kollokation (Art. 219 i.V. mit Art. 146 SchKG ) um die Früchte seiner Anstrengungen bringen könnte. Um solche Unbilligkeit zu verhindern, muss das Recht zur Teilnahme an der Pfändung ohne vorgängige Betreibung als verwirkt betrachtet werden, wenn die Frist von 40 Tagen - aus welchen Gründen auch immer - nicht eingehalten wurde (so auch OTT, a.a.O., S. 314 f.; vgl. ferner FRITZSCHE, Schuldbetreibung und Konkurs, 2. Auflage, Band I, S. 263). Schliesslich ist zu beachten, dass die von Drittgläubigern eingeleitete Betreibung auf Pfändung in aller Regel längst BGE 106 III 62 S. 66 durchgeführt und abgeschlossen wäre, bevor der Rechtsstreit, welchen die Ehegatten unter sich austragen, entschieden ist. Die von der Rekurrentin vorgeschlagene Lösung wäre daher praktisch nicht durchführbar.</w:t>
      </w:r>
    </w:p>
    <w:p>
      <w:r>
        <w:rPr>
          <w:b/>
        </w:rPr>
        <w:t>E. 2</w:t>
      </w:r>
    </w:p>
    <w:p>
      <w:r>
        <w:t>Entgegen ihrer Auffassung konnte sich die Rekurrentin nicht darauf beschränken, zur Wahrung der ihr vom Betreibungsamt angesetzten Frist auf den hängigen Scheidungsprozess zu verweisen. Nur die rechtzeitig erhobene Klage hält die provisorische Teilnahme an der Pfändung aufrecht; der Ansprecher, der die Klagefrist versäumt, hat sein Recht auf Geltendmachung des privilegierten Pfändungsanschlusses verwirkt (AMONN, Grundriss des Schuldbetreibungs- und Konkursrechts, S. 199 f.; OTT, a.a.O., S. 329). An dieser Stelle ist der Gesetzestext übrigens eindeutig, sagt doch der erste Satz von Art. 111 Abs. 3 SchKG , dass die Teilnahme des die Anschlusspfändung begehrenden Gläubigers "widrigenfalls" - was nichts anderes bedeuten kann als: bei Ausbleiben der Klage innert der Frist von zehn Tagen - dahinfalle. Sodann enthält das Formular Nr. 8 der Betreibungsämter, das dem Anwalt der Rekurrentin am 23. Januar 1979 zugestellt wurde, den gedruckten Satz: "Sie haben infolgedessen innerhalb 10 Tagen, von der Zustellung dieser Anzeige an gerechnet, Klage beim Gericht im beschleunigten Verfahren einzureichen, ansonst die Anschlusspfändung dahinfällt." Dem Zusammenhang zwischen dem Scheidungsverfahren und dem Widerspruchsprozess hätte in der Weise Rechnung getragen werden können, dass die Sistierung des letzteren bis zur Beendigung des Scheidungsprozesses verlangt worden wäre. Auch wäre es (ohne Sistierung) möglich gewesen, bei vorzeitigem Abschluss des gegen die Drittgläubiger gerichteten Prozesses den auf die provisorische Pfändung entfallenden Verwertungsanteil bis zum Vorliegen des Scheidungsurteils zu hinterlegen (OTT, a.a.O., S. 332). Der Rekurrentin ist es aber aus prozessualen Gründen verwehrt, die Frage im Rahmen des vorliegenden Verfahrens dem Bundesgericht zur Beurteilung vorzulegen. Wollte sie ihre Rechtsauffassung durch die Aufsichtsbehörde prüfen lassen, so hätte sie nämlich gegen die seinerzeitige Ansetzung der Klagefrist durch das Betreibungsamt Beschwerde führen müssen. Dadurch, dass sie dies unterliess, ist die Fristansetzung in Rechtskraft erwachsen. Von Nichtigkeit der Fristansetzung BGE 106 III 62 S. 67 kann mangels öffentlicher Interessen, die verletzt sein könnten, entgegen der Meinung der Rekurrentin keine Rede sein (Umkehrschluss aus BGE 73 III 136 ).</w:t>
      </w:r>
    </w:p>
    <w:p>
      <w:r>
        <w:rPr>
          <w:b/>
        </w:rPr>
        <w:t>E. 5</w:t>
      </w:r>
    </w:p>
    <w:p>
      <w:r>
        <w:t>Die Rekurrentin hatte ursprünglich innert der vom Gesetz vorgesehenen Frist privilegierte Anschlusspfändung erklärt. Doch unterliess sie es in der Folge, auf Fristansetzung des Betreibungsamtes hin Klage gegen die Drittgläubiger zu erheben. Deshalb hat sie, wie oben (E. 2) ausgeführt, ihr Recht auf Teilnahme an der Anschlusspfändung verwirkt. Entgegen ihrer Auffassung konnte die Rekurrentin nicht erneut Anschlusspfändung erklären, nachdem das Scheidungsurteil rechtskräftig geworden war; denn die vierzigtägige Frist wurde nicht um die Dauer des Scheidungsprozesses erstreckt (E. 1). Somit hat die Vorinstanz die Beschwerden zu 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