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270 vom 1. Januar 1980</w:t>
      </w:r>
    </w:p>
    <w:p>
      <w:r>
        <w:t>Bundesgericht (BGE), 1980-01-01, DE</w:t>
      </w:r>
    </w:p>
    <w:p>
      <w:r>
        <w:rPr>
          <w:b/>
        </w:rPr>
        <w:t xml:space="preserve">Quelle: </w:t>
      </w:r>
      <w:r>
        <w:t>https://mcp.opencaselaw.ch/entscheid/bge_BGE_106_IB_270</w:t>
      </w:r>
    </w:p>
    <w:p>
      <w:r>
        <w:t>FR: BGE BGE 106 IB 270 du 1 janvier 1980</w:t>
      </w:r>
    </w:p>
    <w:p>
      <w:r>
        <w:t>IT: BGE BGE 106 IB 270 del 1 gennaio 1980</w:t>
      </w:r>
    </w:p>
    <w:p>
      <w:pPr>
        <w:pStyle w:val="Heading2"/>
      </w:pPr>
      <w:r>
        <w:t>Regeste</w:t>
      </w:r>
    </w:p>
    <w:p>
      <w:r>
        <w:t>Regeste Verfahren (Art. 100 lit. h OG). Eine Tarifierung im Sinne von Art. 100 lit. h OG liegt auch vor, wenn innerhalb einer Tarifnummer verschiedene Ansätze gelten und bloss streitig ist, welcher dieser Ansätze Anwendung findet.</w:t>
      </w:r>
    </w:p>
    <w:p>
      <w:r>
        <w:t>Regeste Procédure (art. 100 lettre h OJ). Une décision relative à la perception des droits de douane dépend aussi du classement tarifaire, au sens de l'art. 100 lettre h OJ, lorsque seul est litigieux le taux applicable, parmi plusieurs taux valables pour le même numéro du tarif.</w:t>
      </w:r>
    </w:p>
    <w:p>
      <w:r>
        <w:t>Regesto Procedura (art. 100 lett. h OG). È data una classificazione tariffaria ai sensi dell'art. 100 lett. h OG anche allorquando, tra più aliquote di dazio previste per una stessa voce di tariffa, sia litigiosa quella applicabile concretamente.</w:t>
      </w:r>
    </w:p>
    <w:p>
      <w:pPr>
        <w:pStyle w:val="Heading2"/>
      </w:pPr>
      <w:r>
        <w:t>Erwägungen</w:t>
      </w:r>
    </w:p>
    <w:p>
      <w:r>
        <w:rPr>
          <w:b/>
        </w:rPr>
        <w:t>E. 1</w:t>
      </w:r>
    </w:p>
    <w:p>
      <w:r>
        <w:t>Die vorliegende Verwaltungsgerichtsbeschwerde richtet sich gegen eine Verfügung einer eidg. Rekurskommission und ist somit nach Art. 97 Abs. 1 und Art. 98 lit. e OG zulässig, sofern dieses Rechtsmittel nicht durch eine der Ausnahmebestimmungen der Art. 99 ff. OG ausgeschlossen wird. Nach Art. 100 lit. h OG ist die Verwaltungsgerichtsbeschwerde auf dem Gebiete der Zölle unzulässig gegen Verfügungen über deren Veranlagung, soweit diese von der Tarifierung oder von der Gewichtsbemessung abhängt. Diese Bestimmung beruht auf der Überlegung, dass die Tarifierung und Gewichtsbemessung in Zollsachen für eine Überprüfung durch das Bundesgericht nicht geeignet sind. Die Verwaltungsgerichtsbeschwerde ist deshalb ausgeschlossen, wenn die angefochtene Verfügung der Zollbehörden ausschliesslich die Tarifierung oder Gewichtsbemessung zum Gegenstand hat (BGE 101 Ib E. 1) und der Entscheid über die Zollveranlagung nicht (auch) von anderen Fragen abhängt ( BGE 102 Ib 228 E. a mit Hinweis, vgl. auch unveröffentlichtes Urteil A.W. vom 1. April 1976 E. 1). Dies trifft hier zu. Gegenstand des Rechtsstreites ist bloss die Frage, ob die importierten Scheinwerfer zu Recht zum Normaltarif der Position Nr. 8509.01 von Fr. 150.-- je 100 kg verzollt worden sind, oder ob entsprechend der Ansicht des Beschwerdeführers der EWG-Präferenz-Tarif von Fr. 30.-- je 100 kg hätte angewendet werden müssen. Der Entscheid über die Veranlagung hängt damit ausschliesslich davon ab, nach welchem dieser Tarife die vom Beschwerdeführer eingeführten Waren zu verzollen sind. Dass für die Bestimmung des anwendbaren Tarifs nicht nur auf die Tarifnummer des Zolltarifs (SR 632.10 und Ausführungserlasse) abzustellen ist, sondern das Protokoll Nr. 3 zum Abkommen vom 22. Juli 1972 mit der EWG (AS 1972 S. 3184) Anwendung findet, ändert daran nichts. Eine Tarifierung im Sinne von Art. 100 lit. h OG liegt nämlich nicht nur dann vor, wenn entschieden werden muss, unter welcher Tarifnummer die zu verzollende Ware aufgeführt ist, sondern auch dann, wenn innerhalb derselben Nummer verschiedene Tarifansätze gelten und bloss fraglich ist, welcher BGE 106 Ib 270 S. 272 dieser Ansätze Anwendung findet. Hängt aber damit der Entscheid über die Zollveranlagung im vorliegenden Fall ausschliesslich von der zutreffenden Tarifierung im Sinne von Art. 100 lit. h OG ab, so ist die Verwaltungsgerichtsbeschwerde nach dieser Bestimmung unzulässig. Auf die Beschwerde kann somit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