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106 IA 9 vom 1. Januar 1980</w:t>
      </w:r>
    </w:p>
    <w:p>
      <w:r>
        <w:t>Bundesgericht (BGE), 1980-01-01, DE</w:t>
      </w:r>
    </w:p>
    <w:p>
      <w:r>
        <w:rPr>
          <w:b/>
        </w:rPr>
        <w:t xml:space="preserve">Quelle: </w:t>
      </w:r>
      <w:r>
        <w:t>https://mcp.opencaselaw.ch/entscheid/bge_BGE_106_IA_9</w:t>
      </w:r>
    </w:p>
    <w:p>
      <w:r>
        <w:t>FR: BGE BGE 106 IA 9 du 1 janvier 1980</w:t>
      </w:r>
    </w:p>
    <w:p>
      <w:r>
        <w:t>IT: BGE BGE 106 IA 9 del 1 gennaio 1980</w:t>
      </w:r>
    </w:p>
    <w:p>
      <w:pPr>
        <w:pStyle w:val="Heading2"/>
      </w:pPr>
      <w:r>
        <w:t>Regeste</w:t>
      </w:r>
    </w:p>
    <w:p>
      <w:r>
        <w:t>Regeste Verwirkung von Perimeterbeiträgen. Auslegung einer Bestimmung, nach der der Perimeterentscheid spätestens im Zeitpunkt der Vollendung des Werkes öffentlich aufzulegen ist.</w:t>
      </w:r>
    </w:p>
    <w:p>
      <w:r>
        <w:t>Regeste Péremption des contributions dues pour l'amélioration d'une route par les propriétaires de biens-fonds compris dans un périmètre déterminé. Interprétation d'une disposition prévoyant que c'est au plus tard lors de l'achèvement de l'ouvrage que doit être mise à l'enquête publique la décision qui fixe le périmètre à l'intérieur duquel les propriétaires sont soumis à contribution, ainsi que le montant de celles-ci.</w:t>
      </w:r>
    </w:p>
    <w:p>
      <w:r>
        <w:t>Regesto Decadenza dal diritto d'imporre contributi di miglioria a carico dei proprietari di fondi compresi in un determinato perimetro. Interpretazione di una disposizione secondo cui va pubblicata al più tardi al compimento dell'opera la decisione che determina il perimetro entro il quale i proprietari fondiari sono soggetti a un contributo di miglioria, e l'ammontare di quest'ultimo.</w:t>
      </w:r>
    </w:p>
    <w:p>
      <w:pPr>
        <w:pStyle w:val="Heading2"/>
      </w:pPr>
      <w:r>
        <w:t>Erwägungen</w:t>
      </w:r>
    </w:p>
    <w:p>
      <w:r>
        <w:rPr>
          <w:b/>
        </w:rPr>
        <w:t>E. 5</w:t>
      </w:r>
    </w:p>
    <w:p>
      <w:r>
        <w:t>a) Nach Art. 8 der Perimeterverordnung ist das Perimeterverfahren vor Beginn der Bauarbeiten durchzuführen, "oder sofern dies nicht möglich ist oder nicht angezeigt erscheint, mindestens so rechtzeitig einzuleiten, dass der Perimeterentscheid auf den Zeitpunkt der Vollendung der Werkanlage zur öffentlichen Auflage gelangen kann". Das Verwaltungsgericht hat diese Bestimmung dahin ausgelegt, dass das Perimeterverfahren bis spätestens zur Inbetriebnahme des Werkes abgeschlossen sein müsse; andernfalls verliere die Gemeinde ihre Anspruchsberechtigung. Das sei im vorliegenden Falle schon im Sommer 1971 der Fall gewesen, d.h. schon bevor die Perimeterkommission ihre Arbeit aufgenommen hatte. Diese Auslegung kann das Bundesgericht nach dem Gesagten nur auf Willkür hin überprüfen. Eingreifen kann es somit nur dann, wenn sich ergeben sollte, dass sich die Stellungnahme des Verwaltungsgerichts als mit Art. 4 BV nicht vereinbar erweist, weil sie nicht nur unrichtig, sondern schlechthin unhaltbar ist ( BGE 104 II 223 E. 2, BGE 102 Ia 3 E. 2a, BGE 100 Ia 6 E. 3b, 468 mit Hinweisen). Allerdings setzt eine solche Prüfung voraus, dass in der Beschwerdeschrift dargelegt wird, dass und inwiefern Art. 4 BV dergestalt verletzt sein soll ( Art. 90 Abs. 1 lit. b OG ). Die Beschwerdeführerin wirft dem Verwaltungsgericht vor, es habe die fragliche Bestimmung willkürlich ausgelegt. Durch blosse Auslegung gelange es zu Verjährungs- oder Verwirkungsfolgen, die einschneidender seien als die in den Gesetzen ausdrücklich geregelten. Damit genügt die Beschwerde dem Erfordernis des Art. 90 Abs. 1 lit. b OG . b) Art. 8 der Perimeterverordnung sieht die Verwirkung der Ansprüche der Gemeinde nicht vor. Zu diesem Schluss gelangte das Verwaltungsgericht vielmehr durch die Auslegung dieser Bestimmung. Es hat sich dabei auf den Standpunkt gestellt, es würde ein Zustand der Rechtsunsicherheit geschaffen, wenn man es hinnähme, dass Perimeterentscheide entgegen der Vorschrift von Art. 8 der Perimeterverordnung auch noch nach der Vollendung des Werkes öffentlich aufgelegt werden könnten. Indessen besteht kein Anlass, die von der Gemeinde geforderten Perimeterbeiträge aus diesem Grund als verwirkt anzusehen. Dafür, dass bezüglich öffentlichrechtlicher Abgaben infolge eines langen Zeitablaufes keine unerträgliche BGE 106 Ia 9 S. 12 Rechtsunsicherheit entsteht, sorgt schon das Institut der Verjährung, das auch im Bereich des öffentlichen Rechts anerkannt wird, allenfalls selbst dort, wo ausdrückliche Vorschriften fehlen (vgl. BGE 105 Ib 11 E. 3a, BGE 101 Ia 21 E. 4, 98 Ib 355 mit Hinweisen). Im vorliegenden Fall hat das Verwaltungsgericht nun aber nicht an einen langen Zeitablauf angeknüpft, sondern allein an die Tatsache, dass der Perimeterentscheid erst nach der Vollendung des Werks öffentlich aufgelegt wurde. Inwiefern bei einem solchen Vorgehen eine solche Rechtsunsicherheit entstehen soll, dass sie das Dahinfallen der Ansprüche des Gemeinwesens bewirken müsste, ist nicht einzusehen. Dass diese Ansprüche durch das blosse Überschreiten eines Zeitpunktes, der meist mehr oder weniger zufällig gegeben ist, endgültig untergehen sollen, lässt sich dem Wortlaut von Art. 8 der Perimeterverordnung jedenfalls nicht entnehmen. Eine solche Regelung wäre schon deshalb stossend, weil das Dahinfallen der Ansprüche des Gemeinwesens von der zufälligen Dauer der Bauarbeiten abhinge, die mit der Dauer der Arbeiten der Perimeterkommission in keinem Zusammenhang steht. So ist es denkbar, dass dringliche und kostspielige Bauarbeiten innerhalb einer verhältnismässig kurzen Zeit auszuführen sind, während das entsprechende Perimeterverfahren ausserordentlich zeitraubend sein kann. In einem solchen Falle wäre nach der Auslegung, die das Verwaltungsgericht Art. 8 der Perimeterverordnung gibt, die Erhebung von Beiträgen schlechthin ausgeschlossen. Die Auslegung des Verwaltungsgerichts drängt sich sodann auch nicht unter dem Gesichtspunkt des Schutzes der Beitragspflichtigen auf, ist doch die Einleitung des Perimeterverfahrens gemäss Art. 9 Abs. 3 der Perimeterverordnung öffentlich bekanntzugeben; von dieser Bekanntgabe an wissen die Beitragspflichtigen somit, dass sie dem Gemeinwesen Abgaben zu leisten haben werden. Für seine Auslegung stützte sich das Verwaltungsgericht schliesslich auch auf Art. 12 Ziff. 2 der Perimeterverordnung, indes zu Unrecht. Nach dieser Bestimmung soll der Perimeterentscheid die Angaben über die mutmasslichen oder wirklichen Kosten des Werkes enthalten. Die wirklichen Kosten können in einem solchen Entscheid aber nur dann aufgenommen werden, wenn die fraglichen Bauarbeiten bereits abgeschlossen sind. Indem Art. 12 Ziff. 2 der Perimeterverordnung nicht nur die "mutmasslichen", sondern auch die "wirklichen Kosten" BGE 106 Ia 9 S. 13 erwähnt, setzt er geradezu voraus, dass die Beiträge auch dann noch erhoben werden können, wenn der Perimeterentscheid erst nach der Fertigstellung des Werks aufgelegt wird. Gesamthaft betrachtet, hält die vom Verwaltungsgericht vorgenommene Auslegung von Art. 8 der Perimeterverordnung vor Art. 4 BV nicht stand. Es geht nämlich nicht an, durch blosse Auslegung einer grossrätlichen Verordnung den Bestand oder Nichtbestand des verfassungsmässigen Anspruches der Beschwerdeführerin auf den Bezug von Perimeterbeiträgen (Art. 40 Abs. 5 KV) von der zufälligen Dauer der Bauarbeiten abhängig zu machen. Allerdings kann auf Grund von Art. 8 der Perimeterverordnung verlangt werden, dass die Gemeinde das Perimeterverfahren "rechtzeitig" einleitet. Dass dieses Verfahren unter allen Umständen schon vor Abschluss der Bauarbeiten beendet sein muss, kann aber schon deswegen nicht gefordert werden, weil einerseits die Dauer des Perimeterverfahrens nicht vorausgesehen werden kann und anderseits durchaus Perimeterverfahren denkbar sind, die auch bei gewissenhafter Durchführung länger dauern als die gesamten Bauarbeiten. Dass die Beschwerdeführerin das Perimeterverfahren im vorliegenden Falle nicht "rechtzeitig" eingeleitet hat, kann nicht gesagt werden, beschloss sie doch im Mai 1964 die fragliche Strasse zu bauen und leitete bereits im August 1965 das Perimeterverfahren ein, wobei die Strasse erst im Sommer 1971 dem Verkehr übergeben wurde. Ist somit die Auffassung des Verwaltungsgerichts mit Art. 4 BV nicht vereinbar, wonach die Ansprüche der Beschwerdeführerin verwirkt seien, weil das Perimeterverfahren nicht vor Abschluss der Bauarbeiten abgeschlossen worden ist, dann ist das angefochtene Urteil wegen Verletzung der Gemeindeautonomie aufzuheben.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