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49 vom 1. Januar 1980</w:t>
      </w:r>
    </w:p>
    <w:p>
      <w:r>
        <w:t>Bundesgericht (BGE), 1980-01-01, DE</w:t>
      </w:r>
    </w:p>
    <w:p>
      <w:r>
        <w:rPr>
          <w:b/>
        </w:rPr>
        <w:t xml:space="preserve">Quelle: </w:t>
      </w:r>
      <w:r>
        <w:t>https://mcp.opencaselaw.ch/entscheid/bge_BGE_106_IA_49</w:t>
      </w:r>
    </w:p>
    <w:p>
      <w:r>
        <w:t>FR: BGE BGE 106 IA 49 du 1 janvier 1980</w:t>
      </w:r>
    </w:p>
    <w:p>
      <w:r>
        <w:t>IT: BGE BGE 106 IA 49 del 1 gennaio 1980</w:t>
      </w:r>
    </w:p>
    <w:p>
      <w:pPr>
        <w:pStyle w:val="Heading2"/>
      </w:pPr>
      <w:r>
        <w:t>Regeste</w:t>
      </w:r>
    </w:p>
    <w:p>
      <w:r>
        <w:t>Regeste Art. 223 MStG, Kompetenzkonflikt zwischen Zivil- und Militärgerichtsbarkeit. 1. Instruktoren unterstehen dem Militärstrafrecht, wenn sie einem Kurs oder einer Schule zugeteilt sind (Erw. 1). 2. Die Rechtskraft steht der Aufhebung eines zivilen Strafurteils nicht entgegen, wenn die Militärstrafgerichtsbehörden die Kompetenz beanspruchen (Erw. 3).</w:t>
      </w:r>
    </w:p>
    <w:p>
      <w:r>
        <w:t>Regeste Art. 223 CPM, conflit de compétence entre la juridiction ordinaire et la juridiction militaire. 1. Dans la mesure où ils sont attribués à un cours ou à une école, les instructeurs sont soumis au droit pénal militaire (consid. 1). 2. Le fait qu'un jugement pénal rendu par la juridiction ordinaire est passé en force n'empêche pas qu'il soit annulé si les autorités judiciaires compétentes en matière de droit pénal militaire revendiquent leur compétence (consid. 3).</w:t>
      </w:r>
    </w:p>
    <w:p>
      <w:r>
        <w:t>Regesto Art. 223 CPM, conflitto di competenza tra la giurisdizione ordinaria e quella militare. 1. Quando sono attribuiti a un corso o a una scuola, gli istruttori soggiacciono al diritto penale militare (consid. 1). 2. Il fatto che una decisione penale pronunciata dalla giurisdizione ordinaria sia passata in giudicato non osta al suo annullamento laddove la giurisdizione militare rivendichi la propria competenza (consid. 3).</w:t>
      </w:r>
    </w:p>
    <w:p>
      <w:pPr>
        <w:pStyle w:val="Heading2"/>
      </w:pPr>
      <w:r>
        <w:t>Erwägungen</w:t>
      </w:r>
    </w:p>
    <w:p>
      <w:r>
        <w:rPr>
          <w:b/>
        </w:rPr>
        <w:t>E. 1</w:t>
      </w:r>
    </w:p>
    <w:p>
      <w:r>
        <w:t>a) Gemäss Art. 218 Abs. 1 MStG ist eine Person der Militärgerichtsbarkeit unterworfen, soweit sie dem Militärstrafrecht untersteht. Dem Militärstrafrecht unterstehen nach Art. 2 MStG Dienstpflichtige und Hilfsdienstpflichtige während des Militärdienstes ( Art. 2 Ziff. 1 MStG ) und wenn sie ausserhalb des Dienstes in Uniform auftreten ( Art. 2 Ziff. 3 MStG ). Beamte, Angestellte und Arbeiter der Militärverwaltung des Bundes und der Kantone unterstehen dem Militärstrafrecht für Handlungen, die die Landesverteidigung betreffen, und wenn sie Uniform tragen ( Art. 2 Ziff. 2 MStG ). BGE 106 Ia 49 S. 51 Instruktoren sind nicht ohne weiteres Beamte der Militärverwaltung (Art. 2 Abs. 4 der Verordnung über das Instruktionskorps vom 17. Dezember 1973). Sind sie aber einem Kurs oder einer Schule zugeteilt, so stehen sie wie die übrigen Offiziere und Unteroffiziere im Militärdienst und sind in dieser Eigenschaft dem Militärstrafrecht unterworfen (vgl. SCHUHMACHER, Der Geltungsbereich des schweizerischen Militärstrafgesetzes, Diss. Freiburg 1936, S. 99 ff., AMBERG, Grenzlinien zwischen militärischem und bürgerlichem Strafrecht, Diss. Bern 1975, S. 19 ff.). b) Fw X. war der Mat Trp UOS 000 als Instruktionsunteroffizier zugeteilt, als sich der Selbstunfall ereignete. Er stand damit im Militärdienst und war im Sinne von Art. 2 Ziff. 1 MStG dem Militärstrafrecht unterworfen.</w:t>
      </w:r>
    </w:p>
    <w:p>
      <w:r>
        <w:rPr>
          <w:b/>
        </w:rPr>
        <w:t>E. 3</w:t>
      </w:r>
    </w:p>
    <w:p>
      <w:r>
        <w:t>Nach Art. 223 Abs. 2 MStG hebt das Bundesgericht Verfahren und Urteile auf, die einen Übergriff der bürgerlichen in die militärische Gerichtsbarkeit oder der militärischen in die bürgerliche Gerichtsbarkeit enthalten. Da für die Beurteilung der Widerhandlung von X. gegen die Gesetzgebung über den Strassenverkehr die militärischen Gerichte zuständig sind, ist das Strafmandat des Gerichtspräsidenten Fraubrunnen vom 2. August 1979 aufzuheben. Die Rechtskraft dieses Strafurteils steht der Aufhebung nicht entgegen, da die militärischen Behörden im vorliegenden Fall selbst die Kompetenz beansprucht haben ( BGE 76 I 192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