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49</w:t>
      </w:r>
    </w:p>
    <w:p>
      <w:r>
        <w:t>Bundesgericht (BGE), 1979-06-01, DE</w:t>
      </w:r>
    </w:p>
    <w:p>
      <w:r>
        <w:rPr>
          <w:b/>
        </w:rPr>
        <w:t xml:space="preserve">Quelle: </w:t>
      </w:r>
      <w:r>
        <w:t>https://mcp.opencaselaw.ch/entscheid/bge_BGE_105_V_49</w:t>
      </w:r>
    </w:p>
    <w:p>
      <w:r>
        <w:t>FR: ATF 105 V 49</w:t>
      </w:r>
    </w:p>
    <w:p>
      <w:r>
        <w:t>IT: DTF 105 V 49</w:t>
      </w:r>
    </w:p>
    <w:p>
      <w:pPr>
        <w:pStyle w:val="Heading2"/>
      </w:pPr>
      <w:r>
        <w:t>Regeste</w:t>
      </w:r>
    </w:p>
    <w:p>
      <w:r>
        <w:t>Regeste Art. 23 Abs. 2 AHVG. Zum Anspruch der geschiedenen Frau auf Witwenrente: Die Unterhaltspflicht des geschiedenen Ehegatten muss im Scheidungsurteil oder in einer vom Scheidungsrichter genehmigten Scheidungskonvention festgesetzt sein (Bestätigung der Rechtsprechung).</w:t>
      </w:r>
    </w:p>
    <w:p>
      <w:r>
        <w:t>Regeste Art. 23 al. 2 LAVS. Du droit de la femme divorcée à la rente de veuve: L'obligation d'entretien de l'époux divorcé doit être fixée dans le jugement de divorce ou dans une convention approuvée par le juge civil (confirmation de la jurisprudence).</w:t>
      </w:r>
    </w:p>
    <w:p>
      <w:r>
        <w:t>Regesto Art. 23 cpv. 2 LAVS. Del diritto della donna divorziata alla rendita di vedova: L'obbligo del coniuge divorziato di pagare una pensione alimentare dev'essere fissato nella sentenza di divorzio oppure in una convenzione approvata dal giudice civile (conferma della giurisprudenza).</w:t>
      </w:r>
    </w:p>
    <w:p>
      <w:pPr>
        <w:pStyle w:val="Heading2"/>
      </w:pPr>
      <w:r>
        <w:t>Volltext</w:t>
      </w:r>
    </w:p>
    <w:p>
      <w:r>
        <w:t>Bundesgericht (BGE) Band V 1979 BGE 105 V 49 Tribunal fédéral (ATF) Volume V 1979 BGE 105 V 49 Tribunale federale (DTF) Volume V 1979 BGE 105 V 49</w:t>
      </w:r>
    </w:p>
    <w:p>
      <w:r>
        <w:t>Regeste Art. 23 Abs. 2 AHVG. Zum Anspruch der geschiedenen Frau auf Witwenrente: Die Unterhaltspflicht des geschiedenen Ehegatten muss im Scheidungsurteil oder in einer vom Scheidungsrichter genehmigten Scheidungskonvention festgesetzt sein (Bestätigung der Rechtsprechung). Regeste Art. 23 al. 2 LAVS. Du droit de la femme divorcée à la rente de veuve: L'obligation d'entretien de l'époux divorcé doit être fixée dans le jugement de divorce ou dans une convention approuvée par le juge civil (confirmation de la jurisprudence). Regesto Art. 23 cpv. 2 LAVS. Del diritto della donna divorziata alla rendita di vedova: L'obbligo del coniuge divorziato di pagare una pensione alimentare dev'essere fissato nella sentenza di divorzio oppure in una convenzione approvata dal giudice civile (conferma della giurisprudenza).</w:t>
      </w:r>
    </w:p>
    <w:p>
      <w:r>
        <w:t>Urteilskopf 105 V 49 12. Auszug aus dem Urteil vom 1. Juni 1979 i.S. Ritzer gegen Schweizerische Ausgleichskasse und Rekurskommission der AHV/IV für die im Ausland wohnenden Personen Regeste Art. 23 Abs. 2 AHVG . Zum Anspruch der geschiedenen Frau auf Witwenrente: Die Unterhaltspflicht des geschiedenen Ehegatten muss im Scheidungsurteil oder in einer vom Scheidungsrichter genehmigten Scheidungskonvention festgesetzt sein (Bestätigung der Rechtsprechung). Erwägungen ab Seite 49 BGE 105 V 49 S. 49 Aus den Erwägungen: Eine geschiedene Frau hat nach dem Tode ihres geschiedenen Ehepartners bei Vorliegen der übrigen Voraussetzungen dann Anspruch auf eine Witwenrente, wenn der Mann ihr gegenüber zu Unterhaltsbeiträgen verpflichtet war und die Ehe mindestens zehn Jahre gedauert hat ( Art. 23 Abs. 2 AHVG ). Das Eidg. Versicherungsgericht hat in ständiger Rechtsprechung betont, dass die Ausnahmevorschrift von Art. 23 Abs. 2 keine extensive Auslegung zulasse (EVGE 1955 S. 201 f., 1969 S. 82). Es hat namentlich entschieden, dass die Unterhaltspflicht des geschiedenen Ehegatten im Scheidungsurteil oder einer vom Scheidungsrichter genehmigten Scheidungskonvention festgelegt sein müsse (EVGE 1969 S. 81 mit Hinweisen). BGE 105 V 49 S. 50 Im vorliegenden Fall liegt unbestrittenermassen lediglich eine aussergerichtliche Vereinbarung über die Unterhaltspflicht des von der Beschwerdeführerin geschiedenen und inzwischen verstorbenen Ehemannes vor. Es kann sich deshalb nur fragen, ob die in der Verwaltungsgerichtsbeschwerde vorgebrachten Gründe dazu Anlass geben können, von der dargelegten langjährigen Praxis abzuweichen. Das ist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