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173</w:t>
      </w:r>
    </w:p>
    <w:p>
      <w:r>
        <w:t>Bundesgericht (BGE), 1979-01-01, DE</w:t>
      </w:r>
    </w:p>
    <w:p>
      <w:r>
        <w:rPr>
          <w:b/>
        </w:rPr>
        <w:t xml:space="preserve">Quelle: </w:t>
      </w:r>
      <w:r>
        <w:t>https://mcp.opencaselaw.ch/entscheid/bge_BGE_105_V_173</w:t>
      </w:r>
    </w:p>
    <w:p>
      <w:r>
        <w:t>FR: ATF 105 V 173</w:t>
      </w:r>
    </w:p>
    <w:p>
      <w:r>
        <w:t>IT: DTF 105 V 173</w:t>
      </w:r>
    </w:p>
    <w:p>
      <w:pPr>
        <w:pStyle w:val="Heading2"/>
      </w:pPr>
      <w:r>
        <w:t>Regeste</w:t>
      </w:r>
    </w:p>
    <w:p>
      <w:r>
        <w:t>Regeste Art. 41 IVG, 88a Abs. 1 und 88bis Abs. 2 IVV; Art. 47 Abs. 1 AHVG. - Die Vorschriften über die Revision von Invalidenrenten und Hilflosenentschädigungen der Invalidenversicherung gelten in analoger Weise auch für die Revision von Eingliederungsleistungen. - Abgrenzung des Anwendungsbereichs des Art. 41 IVG einerseits und des Art. 47 Abs. 1 AHVG (in Verbindung mit Art. 49 IVG) sowie des Art. 85 Abs. 2 IVV anderseits.</w:t>
      </w:r>
    </w:p>
    <w:p>
      <w:r>
        <w:t>Regeste Art. 41 LAI, 88a al. 1 et 88bis al. 2 RAI; art. 47 al. 1 LAVS. - Les dispositions concernant la revision des rentes et allocations pour impotent de l'assurance-invalidité valent aussi, par analogie, pour la revision de prestations accordées en qualité de mesures de réadaptation. - Délimitation du domaine d'application de l'art. 41 LAI, d'une part, et de l'art. 47 al. 1 LAVS (en relation avec l'art. 49 LAI) ainsi que de l'art. 85 al. 2 RAI, d'autre part.</w:t>
      </w:r>
    </w:p>
    <w:p>
      <w:r>
        <w:t>Regesto Art. 41 LAI, 88a cpv. 1 e 88bis cpv. 2 OAI; art. 47 cpv. 1 LAVS. - Le disposizioni concernenti la revisione delle rendite e assegni per grandi invalidi dell'assicurazione-invalidità valgono, per analogia, anche per la revisione di prestazioni accordate nella forma di misure d'integrazione. - Delimitazione del campo d'applicazione dell'art. 41 LAI, da una parte, e dell'art. 47 cpv. 1 LAVS (in relazione con l'art. 49 LAI) come pure dell'art. 85 cpv. 2 OAI d'altra parte.</w:t>
      </w:r>
    </w:p>
    <w:p>
      <w:pPr>
        <w:pStyle w:val="Heading2"/>
      </w:pPr>
      <w:r>
        <w:t>Volltext</w:t>
      </w:r>
    </w:p>
    <w:p>
      <w:r>
        <w:t>Bundesgericht (BGE) Band V 1979 BGE 105 V 173 Tribunal fédéral (ATF) Volume V 1979 BGE 105 V 173 Tribunale federale (DTF) Volume V 1979 BGE 105 V 173</w:t>
      </w:r>
    </w:p>
    <w:p>
      <w:r>
        <w:t>Regeste Art. 41 IVG, 88a Abs. 1 und 88bis Abs. 2 IVV; Art. 47 Abs. 1 AHVG. - Die Vorschriften über die Revision von Invalidenrenten und Hilflosenentschädigungen der Invalidenversicherung gelten in analoger Weise auch für die Revision von Eingliederungsleistungen. - Abgrenzung des Anwendungsbereichs des Art. 41 IVG einerseits und des Art. 47 Abs. 1 AHVG (in Verbindung mit Art. 49 IVG) sowie des Art. 85 Abs. 2 IVV anderseits. Regeste Art. 41 LAI, 88a al. 1 et 88bis al. 2 RAI; art. 47 al. 1 LAVS. - Les dispositions concernant la revision des rentes et allocations pour impotent de l'assurance-invalidité valent aussi, par analogie, pour la revision de prestations accordées en qualité de mesures de réadaptation. - Délimitation du domaine d'application de l'art. 41 LAI, d'une part, et de l'art. 47 al. 1 LAVS (en relation avec l'art. 49 LAI) ainsi que de l'art. 85 al. 2 RAI, d'autre part. Regesto Art. 41 LAI, 88a cpv. 1 e 88bis cpv. 2 OAI; art. 47 cpv. 1 LAVS. - Le disposizioni concernenti la revisione delle rendite e assegni per grandi invalidi dell'assicurazione-invalidità valgono, per analogia, anche per la revisione di prestazioni accordate nella forma di misure d'integrazione. - Delimitazione del campo d'applicazione dell'art. 41 LAI, da una parte, e dell'art. 47 cpv. 1 LAVS (in relazione con l'art. 49 LAI) come pure dell'art. 85 cpv. 2 OAI d'altra parte.</w:t>
      </w:r>
    </w:p>
    <w:p>
      <w:r>
        <w:t>Urteilskopf 105 V 173 40. Auszug aus dem Urteil vom 8. Oktober 1979 i.S. Weber gegen Ausgleichskasse des Kantons Zug und Verwaltungsgericht des Kantons Zug Regeste Art. 41 IVG , 88a Abs. 1 und 88bis Abs. 2 IVV; Art. 47 Abs. 1 AHVG . - Die Vorschriften über die Revision von Invalidenrenten und Hilflosenentschädigungen der Invalidenversicherung gelten in analoger Weise auch für die Revision von Eingliederungsleistungen. - Abgrenzung des Anwendungsbereichs des Art. 41 IVG einerseits und des Art. 47 Abs. 1 AHVG (in Verbindung mit Art. 49 IVG ) sowie des Art. 85 Abs. 2 IVV anderseits. Erwägungen ab Seite 174 BGE 105 V 173 S. 174 Aus den Erwägungen: a) Ändert sich der Grad der Invalidität eines Rentenbezügers in einer für den Anspruch erheblichen Weise, so ist die Rente gemäss Art. 41 IVG für die Zukunft entsprechend zu erhöhen, herabzusetzen oder aufzuheben. Diese Bestimmung gilt sinngemäss auch für die Revision der Hilflosenentschädigung ( Art. 86 IVV ). Bei einer Verbesserung der Erwerbsfähigkeit oder Verminderung der Hilflosigkeit ist die anspruchsbeeinflussende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 Art. 88a Abs. 1 IVV ). Schliesslich bestimmt Art. 88bis Abs. 2 lit. a IVV , dass die revisionsweise Herabsetzung oder Aufhebung der Renten und Hilflosenentschädigungen frühestens vom ersten Tag des der Zustellung der Verfügung folgenden Monats an erfolgt, es sei denn, der Bezüger habe die Leistung unrechtmässig erwirkt oder sei der zumutbaren Meldepflicht gemäss Art. 77 IVV nicht nachgekommen ( Art. 88bis Abs. 2 lit. b IVV ). Diese Revisionsvorschriften beziehen sich lediglich auf Renten und Hilflosenentschädigungen, wogegen die Revision von Eingliederungsleistungen, d.h. die Herabsetzung oder Aufhebung solcher Leistungen wegen einer seit ihrer Zusprechung eingetretenen Veränderung der Verhältnisse, von Gesetz und Verordnung nicht ausdrücklich geregelt wird. Es rechtfertigt sich indessen, diese Fälle gleich wie Renten und Hilflosenentschädigungen zu behandeln und demzufolge Art. 41 IVG sowie die dazugehörigen Verordnungsbestimmungen in analoger Weise auch auf die Revision von Eingliederungsleistungen anzuwenden (nicht veröffentlichtes Urteil vom 25. Oktober 1966 i.S. Knecht). Die Vorinstanz begründet die Verpflichtung zur Rückerstattung in ihrem Entscheid mit dem Hinweis auf Art. 47 AHVG (in Verbindung mit Art. 49 IVG ). Diese Bestimmung kann indessen in Revisionsfällen keine Anwendung finden. Sie gilt vielmehr nur, wenn einerseits die Verwaltung eine frühere formell BGE 105 V 173 S. 175 rechtskräftige Verfügung in Wiedererwägung zieht, weil sie sich als zweifellos unrichtig erweist und ihre Berichtigung von erheblicher Bedeutung ist ( BGE 103 V 128 mit Hinweis), und wenn anderseits der Fall nicht nach Art. 85 Abs. 2 IVV zu beurteilen ist. Dies hängt - wie das Eidg. Versicherungsgericht in BGE 105 V 163 entschieden hat - davon ab, ob der zur Wiedererwägung der früheren Verfügung führende Fehler einen AHV-analogen Gesichtspunkt (etwa die Staatsangehörigkeit, den Zivilstand, den Wohnsitz, die Versicherteneigenschaft, die Berechnungsgrundlagen der ordentlichen Rente wie massgebendes durchschnittliches Jahreseinkommen oder anwendbare Rentenskala) oder aber einen spezifisch IV-rechtlichen Faktor (etwa die Bemessung des Invaliditäts- und Hilflosigkeitsgrades, die Beurteilung der Notwendigkeit und Geeignetheit von medizinischen und beruflichen Eingliederungsmassnahmen, von Sonderschulmassnahmen und Hilfsmitteln) betrifft; in jenem Falle gelangt Art. 47 Abs. 1 AHVG , in diesem Art. 85 Abs. 2 IVV (allenfalls dessen Abs. 3) zur Anwendung. b) Im vorliegenden Fall geht es unbestreitbar um die Revision einer Eingliederungsleistung. Die Verhältnisse erfuhren insofern eine erhebliche Veränderung, als die invaliditätsbedingte Notwendigkeit einer Begleitung der Beschwerdeführerin auf ihrem Schulweg auf anfangs 1977 wegfiel. Die mit Verfügung vom 21. Dezember 1973 zwar mit dem Hinweis "vorläufig", aber doch unbefristet zugesprochene Vergütung der Fahrauslagen einer Begleitperson kann daher nur mit Wirkung für die Zukunft aufgehoben werden. Anhaltspunkte dafür, dass der Vater der Beschwerdeführerin die Leistung unrechtmässig erwirkt habe oder der ihm zumutbaren Meldepflicht nicht nachgekommen sei, sind nicht ersichtlich. Somit ergibt sich, dass die von Januar bis Mitte Juni 1977 erbrachte Fahrauslagenvergütung für die Begleitperson nicht zurückgefordert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