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151</w:t>
      </w:r>
    </w:p>
    <w:p>
      <w:r>
        <w:t>Bundesgericht (BGE), 1979-06-05, DE</w:t>
      </w:r>
    </w:p>
    <w:p>
      <w:r>
        <w:rPr>
          <w:b/>
        </w:rPr>
        <w:t xml:space="preserve">Quelle: </w:t>
      </w:r>
      <w:r>
        <w:t>https://mcp.opencaselaw.ch/entscheid/bge_BGE_105_V_151</w:t>
      </w:r>
    </w:p>
    <w:p>
      <w:r>
        <w:t>FR: ATF 105 V 151</w:t>
      </w:r>
    </w:p>
    <w:p>
      <w:r>
        <w:t>IT: DTF 105 V 151</w:t>
      </w:r>
    </w:p>
    <w:p>
      <w:pPr>
        <w:pStyle w:val="Heading2"/>
      </w:pPr>
      <w:r>
        <w:t>Regeste</w:t>
      </w:r>
    </w:p>
    <w:p>
      <w:r>
        <w:t>Regeste Art. 28 Abs. 2 IVG. Ermittlung des Invaliditätsgrades bei einem Erwerbstätigen nach dem ausserordentlichen Bemessungsverfahren.</w:t>
      </w:r>
    </w:p>
    <w:p>
      <w:r>
        <w:t>Regeste Art. 28 al. 2 LAI. Evaluation de l'invalidité d'un assuré actif d'après la méthode extraordinaire.</w:t>
      </w:r>
    </w:p>
    <w:p>
      <w:r>
        <w:t>Regesto Art. 28 cpv. 2 LAI. Determinazione secondo il metodo straordinario dell'invalidità di un assicurato attivo.</w:t>
      </w:r>
    </w:p>
    <w:p>
      <w:pPr>
        <w:pStyle w:val="Heading2"/>
      </w:pPr>
      <w:r>
        <w:t>Erwägungen</w:t>
      </w:r>
    </w:p>
    <w:p>
      <w:r>
        <w:rPr>
          <w:b/>
        </w:rPr>
        <w:t>E. 1</w:t>
      </w:r>
    </w:p>
    <w:p>
      <w:r>
        <w:t>Die Vorinstanz legt in ihrem Entscheid die Bestimmungen über die Entstehung und den Umfang des Rentenanspruchs sowie über die Ermittlung des Invaliditätsgrades auf Grund des ordentlichen Einkommensvergleichs zutreffend dar und weist überdies mit Recht darauf hin, dass die Invalidität in bestimmten Fällen anhand eines erwerblich gewichteten Betätigungsvergleichs im Hinblick auf die konkrete betriebliche Situation zu ermitteln ist (sogenanntes ausserordentliches Bemessungsverfahren, BGE 104 V 137 Erw. 2c). Das Eidg. Versicherungsgericht hat diesen Ausführungen, auf welche verwiesen werden kann, nichts beizufügen.</w:t>
      </w:r>
    </w:p>
    <w:p>
      <w:r>
        <w:rPr>
          <w:b/>
        </w:rPr>
        <w:t>E. 2</w:t>
      </w:r>
    </w:p>
    <w:p>
      <w:r>
        <w:t>Im vorliegenden Verfahren ist nur noch die Rentenfrage streitig. Es ist daher zu prüfen, ob beim Beschwerdeführer bis zum Zeitpunkt des Erlasses der Kassenverfügung (14. Dezember 1977), auf den es praxisgemäss in tatbeständlicher Hinsicht ankommt ( BGE 99 V 102 ), eine anspruchsbegründende Invalidität bestand. a) In der Verwaltungsgerichtsbeschwerde wird im wesentlichen gerügt, dass bei der Ermittlung des Invaliditätsgrades die Geschäftsbücher unberücksichtigt gelassen worden seien. Zwar trifft es zu, dass in diesen zahlreiche Angaben über die geschäftliche Entwicklung und die finanziellen Verhältnisse der Firma des Beschwerdeführers in den Jahren nach 1972 enthalten sind. Indessen lässt sich aus Gründen, welche die Vorinstanz in ihrem Entscheid ausführlich und zutreffend darlegt, nicht feststellen, in welchem Ausmass sich die - im übrigen erst ab Mitte Juli 1976 massgebliche - leidensbedingte Verminderung der Leistungsfähigkeit des Beschwerdeführers tatsächlich auf BGE 105 V 151 S. 155 das Geschäftsergebnis auswirkte. Auch zusätzliche Abklärungen dürften kaum annähernd genaue Aufschlüsse hierüber geben können; dem Begehren des Beschwerdeführers nach Anordnung einer Buchhaltungsexpertise ist daher nicht zu entsprechen. Hinzu kommt, dass die Akten auch keine Angaben enthalten, die eine ausreichend zuverlässige Ermittlung oder Schätzung des ohne Invalidität erzielbaren Erwerbseinkommens gestatten würden. Daher ist im vorliegenden Fall an Stelle der ordentlichen Einkommensvergleichsmethode ausnahmsweise das ausserordentliche Bemessungsverfahren anzuwenden. b) Obwohl das Augenleiden gemäss eigenen Angaben schon von Geburt an bestand und sich durch einen 1960 erlittenen Unfall verschlimmerte, machte es sich in beruflicher Hinsicht für den Beschwerdeführer erst mit dem Entzug des Führerausweises für Lastwagen bemerkbar. An sich ist eine derartige behördliche Anordnung geeignet, eine Erwerbseinbusse zu bewirken. Im vorliegenden Fall ist aber zu berücksichtigen, dass der Beschwerdeführer seine drei Söhne nicht erst 1976 - und auch nicht im Hinblick auf seine gesundheitliche Entwicklung - ins Geschäft einführte und ihnen bestimmte Tätigkeitsbereiche zuwies. Der Beizug und die Aufgabenteilung erfolgten vielmehr bereits in den Jahren 1966 bis 1969, wobei hervorzuheben ist, dass der zweitälteste Sohn von der Volljährigkeit an im Transportwesen mithalf. Daher ist die Annahme, dass der Anteil der Chauffeurtätigkeit des Beschwerdeführers auch 1976 noch 90% betragen habe, weshalb aus dem Verlust des Lastwagenausweises nun auch eine Erwerbseinbusse in gleichem Umfang resultiere, offensichtlich nicht haltbar. Der Beschwerdeführer ist trotz seines Augenleidens in der Lage, nicht nur einen Personenwagen und - wie die Vorinstanz zutreffend festhält - den in die gleiche Fahrzeugkategorie fallenden VW-Pic-up zu fahren, sondern auch wesentliche betriebsleitende Funktionen im Geschäft wahrzunehmen. Diese Tätigkeit ist keineswegs nur "dekorativer" Art; sie ist vielmehr im Hinblick auf die Grösse des Betriebes und die noch zu geringe Betriebserfahrung der Söhne eine Notwendigkeit. Der Anteil der Arbeiten, die zumutbarerweise noch verrichtet werden können, beträgt - verglichen mit der Leistungsfähigkeit ohne leidensbedingte Behinderung und gewichtet im Hinblick auf seine erwerbliche Auswirkung auf das Geschäftsergebnis - sicher mehr als die BGE 105 V 151 S. 156 Hälfte dessen, was der Beschwerdeführer ohne Gesundheitsschaden zu bewältigen vermöchte. Daraus folgt, dass der Invaliditätsgrad im hier massgeblichen Zeitpunkt weniger als 50% betrug. Da ein Härtefall offensichtlich nicht vorliegt und im übrigen auch nicht behauptet wird, steht dem Beschwerdeführer somit keine Invalidenrente zu, weshalb sich die Verwaltungsgerichtsbeschwerde als unbegründet erweist.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