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119</w:t>
      </w:r>
    </w:p>
    <w:p>
      <w:r>
        <w:t>Bundesgericht (BGE), 1968-12-20, DE</w:t>
      </w:r>
    </w:p>
    <w:p>
      <w:r>
        <w:rPr>
          <w:b/>
        </w:rPr>
        <w:t xml:space="preserve">Quelle: </w:t>
      </w:r>
      <w:r>
        <w:t>https://mcp.opencaselaw.ch/entscheid/bge_BGE_105_V_119</w:t>
      </w:r>
    </w:p>
    <w:p>
      <w:r>
        <w:t>FR: ATF 105 V 119</w:t>
      </w:r>
    </w:p>
    <w:p>
      <w:r>
        <w:t>IT: DTF 105 V 119</w:t>
      </w:r>
    </w:p>
    <w:p>
      <w:pPr>
        <w:pStyle w:val="Heading2"/>
      </w:pPr>
      <w:r>
        <w:t>Regeste</w:t>
      </w:r>
    </w:p>
    <w:p>
      <w:r>
        <w:t>Regeste Art. 130 und 116 lit. k OG. Auf Grund der OG-Revision vom 20. Dezember 1968 ist das Eidg. Versicherungsgericht zur Beurteilung von Schadenersatzklagen gemäss Art. 70 Abs. 2 AHVG und Art. 172 Abs. 2 AHVV zuständig (Erw. 1). Art. 70 Abs. 1 lit. b AHVG, 172 und 173 AHVV. Haftung der Gründerverbände für Schäden, die infolge absichtlicher oder grobfahrlässiger Missachtung der Vorschriften durch Kassenorgane oder Kassenfunktionäre entstanden sind: - Begriff der groben Fahrlässigkeit (Erw. 2). - Anwendungsfall (Erw. 3).</w:t>
      </w:r>
    </w:p>
    <w:p>
      <w:r>
        <w:t>Regeste Art. 130 et 116 let. k OJ. Vu la revision de l'OJ du 20 décembre 1968, le Tribunal fédéral des assurances est compétent pour connaître des actions en responsabilité au sens des art. 70 al. 2 LAVS et 172 al. 2 RAVS (consid. 1). Art. 70 al. 1 let. b LAVS, 172 et 173 RAVS. Responsabilité des associations fondatrices pour les dommages causés par une violation des prescriptions, intentionnelle ou due à la négligence grave, par les organes et fonctionnaires ou employés de leur caisse: - Notion de la négligence grave (consid. 2). - Cas d'application (consid. 3).</w:t>
      </w:r>
    </w:p>
    <w:p>
      <w:r>
        <w:t>Regesto Art. 130 e 116 lett. k OG. In virtù della revisione dell'OG del 20 dicembre 1968, il Tribunale federale delle assicurazioni è competente a conoscere le azioni di responsabilità nel senso degli art. 70 cpv. 2 LAVS e 172 cpv. 2 OAVS (consid. 1). Art. 70 cpv. 1 lett. b LAVS, 172 e 173 OAVS. Responsabilità delle associazioni fondatrici per i danni provocati da parte di organi, funzionari o impiegati delle casse violando intenzionalmente o per negligenza grave le disposizioni: - Nozione di negligenza grave (consid. 2). - Caso di applicazione (consid. 3).</w:t>
      </w:r>
    </w:p>
    <w:p>
      <w:pPr>
        <w:pStyle w:val="Heading2"/>
      </w:pPr>
      <w:r>
        <w:t>Erwägungen</w:t>
      </w:r>
    </w:p>
    <w:p>
      <w:r>
        <w:rPr>
          <w:b/>
        </w:rPr>
        <w:t>E. 1</w:t>
      </w:r>
    </w:p>
    <w:p>
      <w:r>
        <w:t>a) Gegenstand des vorliegenden Verfahrens ist eine Schadenersatzforderung gemäss Art. 70 AHVG . Nach Art. 70 Abs. 2 AHVG in Verbindung mit Art. 172 AHVV obliegt es dem Bundesamt für Sozialversicherung, solche Forderungen beim Kanton bzw. Gründerverband geltend zu machen. Wird die Schadenersatzpflicht ganz oder teilweise bestritten, so hat das Bundesamt im Namen des Bundesrates Klage einzureichen ( Art. 172 Abs. 2 AHVV ). Das Bundesamt für Sozialversicherung ist somit zur Klage legitimiert ( Art. 119 Abs. 1 OG ). b) Die Klage auf Schadenersatz gemäss Art. 70 AHVG ist eine Klage in einer Streitigkeit aus dem Verwaltungsrecht des Bundes, die durch ein Bundesgesetz ausdrücklich vorgesehen wird. Sie stellt eine verwaltungsrechtliche Klage im Sinne von Art. 116 lit. k OG dar. Da sie in den Bereich der Sozialversicherung fällt, ist für ihre Beurteilung das Eidg. Versicherungsgericht zuständig ( Art. 130 OG ). c) Nach Art. 133 in Verbindung mit Art. 120 und Art. 105 Abs. 1 OG kann das Eidg. Versicherungsgericht die Feststellung des Sachverhaltes von Amtes wegen überprüfen. Im übrigen finden die Vorschriften über den Bundeszivilprozess sinngemäss Anwendung.</w:t>
      </w:r>
    </w:p>
    <w:p>
      <w:r>
        <w:rPr>
          <w:b/>
        </w:rPr>
        <w:t>E. 2</w:t>
      </w:r>
    </w:p>
    <w:p>
      <w:r>
        <w:t>a) Nach Art. 70 Abs. 1 AHVG haften die Gründerverbände, der Bund und die Kantone "a) für Schäden aus strafbaren Handlungen, die von ihren Kassenorganen oder einzelnen Kassenfunktionären bei Ausübung ihrer Obliegenheiten begangen werden; b) für Schäden, die infolge absichtlicher oder grobfahrlässiger Missachtung der Vorschriften durch ihre Kassenorgane oder einzelne Kassenfunktionäre entstanden sind". Zum Begriff der groben Fahrlässigkeit gemäss lit. b der Bestimmung hat sich das Eidg. Versicherungsgericht bisher nicht zu äussern gehabt. Es besteht auch keine diesbezügliche bundesgerichtliche Rechtsprechung aus der Zeit vor der Revision des Organisationsgesetzes von 1968. Im übrigen ergeben sich weder aus der Botschaft des Bundesrates zum AHVG vom BGE 105 V 119 S. 123 24. Mai 1946 (BBl 1946 II 365 ff., insbesondere S. 460 und 546) noch aus den übrigen Gesetzesmaterialien Anhaltspunkte zur Auslegung der Bestimmung. b) Mit der Frage der Grobfahrlässigkeit hat sich das Eidg. Versicherungsgericht vorab im Zusammenhang mit der Kürzung von Sozialversicherungsleistungen wegen selbstverschuldeter Herbeiführung des versicherten Ereignisses zu befassen ( Art. 98 Abs. 3 KUVG , Art. 7 Abs. 1 MVG , Art. 7 Abs. 1 IVG ). Grobfahrlässig handelt nach dieser Rechtsprechung, wer jene elementarsten Vorsichtsgebote unbeachtet lässt, die jeder verständige Mensch in der gleichen Lage und unter den gleichen Umständen befolgt hätte, um eine nach dem natürlichen Lauf der Dinge voraussehbare Schädigung zu vermeiden ( BGE 104 V 38 , 103 V 21 und 34, 102 V 25, 98 V 228). Hinzuweisen ist ferner auf Art. 8 des Verantwortlichkeitsgesetzes vom 14. März 1958 (VG), wonach der Beamte dem Bund für den Schaden haftet, den er ihm durch vorsätzliche oder grobfahrlässige Verletzung seiner Dienstpflicht unmittelbar zufügt. In BGE 86 I 180 hat das Bundesgericht hiezu ausgeführt, eine Fahrlässigkeit liege vor, wenn die nach den bestehenden Vorschriften und nach den Umständen gebotene Sorgfalt bei Ausübung dienstlicher Verrichtungen ausser acht gelassen werde. Damit die Fahrlässigkeit als grob bezeichnet werden könne, müsse sie von einer gewissen Schwere sein. In der Regel werde die Verletzung eines elementaren Vorsichtsgebotes als grobe Fahrlässigkeit zu würdigen sein. Bei der Beurteilung der Schwere des Verschuldens seien indessen stets die gesamten Umstände des einzelnen Falles zu berücksichtigen. In BGE 102 Ib 108 hält das Bundesgericht zu Art. 8 VG fest, die Fahrlässigkeit müsse nach dem Wortlaut und Sinn der Bestimmung derart schwer sein, "dass die Verwaltung begründeten Anlass zum Zweifel daran hat, ob der Beamte das Vertrauen, das sie ihm nach seiner amtlichen Stellung muss entgegenbringen können, noch uneingeschränkt verdiene". c) Im Hinblick auf die weitgehende Parallelität der Rechtsfragen rechtfertigt es sich, die Grundsätze, wie sie für die Verantwortlichkeit der Beamten gelten, sinngemäss auf Art. 70 Abs. 1 AHVG anzuwenden. Die Haftung für grobfahrlässig herbeigeführte Schäden setzt demzufolge voraus, dass die Organe oder Funktionäre der Ausgleichskasse die gebotene elementare Vorsicht bei der Erfüllung der ihnen obliegenden BGE 105 V 119 S. 124 Aufgaben nicht beachtet haben, wobei das Verhalten derart schwer sein muss, dass ein pflichtbewusster Beamter in der gleichen Lage und unter den gleichen Umständen keinesfalls hätte gleich handeln können. Es muss eine eigentliche Verletzung des entgegengebrachten Vertrauens durch den Beamten vorliegen, so dass es nicht als unbillig erschiene, wenn er auf dem Wege des Rückgriffs in bestimmtem Umfange für den Schaden persönlich erfasst würde. Bei der Beurteilung der groben Fahrlässigkeit sind die gesamten Umstände des Einzelfalles zu berücksichtigen. Dabei ist jedoch von einem objektiven Fahrlässigkeitsbegriff auszugehen, und es ist an die Sorgfaltspflicht ein für sämtliche Beamten mit gleichartigen Funktionen geltender durchschnittlicher Massstab anzulegen (vgl. WINZELER, Die Haftung der Organe und der Kassenträger in der AHV, Diss. Zürich 1952, S. 76, 87). Im übrigen gelten als Vorschriften, deren grobfahrlässige Missachtung eine Haftung auslösen kann, nicht nur die Bestimmungen des AHVG und der Vollziehungsverordnung, sondern auch die Weisungen der Aufsichtsbehörde (vgl. BINSWANGER, Kommentar zum AHVG, S. 276).</w:t>
      </w:r>
    </w:p>
    <w:p>
      <w:r>
        <w:rPr>
          <w:b/>
        </w:rPr>
        <w:t>E. 3</w:t>
      </w:r>
    </w:p>
    <w:p>
      <w:r>
        <w:t>Streitig ist im vorliegenden Fall, ob die beklagten Gründerverbände für den Schaden aufzukommen haben, welcher durch die zu Unrecht erfolgte Auszahlung von Altersrenten an Hedwig Stutz in der Höhe von Fr. 17'140.-- entstanden ist. a) In der "Anmeldung zur AHV" vom 6. November 1952 gab Hedwig Stutz als Geburtsdatum den 20. Januar 1910 (statt richtig den 21. Januar 1910) an. Gestützt hierauf wurde ihr ein Versicherungsausweis mit dem unrichtigen Geburtsdatum des 20. Januar 1910 und mit der unrichtigen Versichertennummer 814.10.520 ausgestellt. Mit Verfügung vom 31. März 1971 wurde dem Ehemann der Versicherten unter den zutreffenden Versichertennummern 874.11.329/874.10.521 eine ganze Ehepaar-Invalidenrente zugesprochen. Dabei wurde übersehen, dass der Versicherungsausweis der Ehefrau eine unrichtige Versichertennummer aufwies. Am 6. Januar 1972 meldete sich Hedwig Stutz zum Bezug einer einfachen Altersrente an, wobei sie als Geburtsdatum richtigerweise den 21. Januar 1910 angab und auf die entsprechende Frage im Anmeldeformular vermerkte, ihr Ehemann sei Bezüger einer Rente der Invalidenversicherung. Der Anmeldung legte sie den fehlerhaften Versicherungsausweis bei. Auf Grund dieses Ausweises nahm die Ausgleichskasse BGE 105 V 119 S. 125 unter der unrichtigen Versichertennummer den Kontenzusammenruf vor. Da dieser keinen Ausschliessungsgrund aufzeigte, sprach sie der Versicherten mit Wirkung ab 1. Februar 1972 eine einfache Altersrente zu (Verfügung vom 17. Januar 1972). b) Das Bundesamt für Sozialversicherung legt unter Hinweis auf Rz 845 ff. der Wegleitung über die Renten im einzelnen dar, welche Kontrollen die Kassenfunktionäre bei der Prüfung von Leistungsbegehren vorzunehmen haben. Danach darf sich der Funktionär nicht damit begnügen, auf Grund des Versicherungsausweises den Kontenzusammenruf zu veranlassen; vielmehr hat er zunächst die Personalien anhand der einzufordernden amtlichen Ausweisschriften zu prüfen. Im vorliegenden Fall wurde eine Prüfung der von der Versicherten im Anmeldeformular angegebenen Personalien vorgenommen. Der Sachbearbeiter der Ausgleichskasse hat jedoch übersehen, dass der Versicherungsausweis nicht mit den in der Anmeldung zum Bezug einer Altersrente enthaltenen richtigen Angaben übereinstimmte. Auch wenn den Beklagten darin beizupflichten ist, dass es an einer entsprechenden ausdrücklichen Verwaltungsweisung fehlt, kann kein Zweifel darüber bestehen, dass sich die Prüfung auch auf die Angaben im Versicherungsausweis zu erstrecken hat. Der Kassenfunktionär hat daher zumindest nicht mit der nötigen Sorgfalt gehandelt. Dabei kann offenbleiben, ob die Unrichtigkeit des Versicherungsausweises nicht schon früher (bei der Ausstellung des Ausweises im Jahre 1952 oder bei der Zusprechung der Ehepaar-Invalidenrente im Jahre 1971) hätte festgestellt werden müssen. c) Der Sachbearbeiter der Ausgleichskasse hat des weitern dem Umstand keine Beachtung geschenkt, dass die Versicherte im Anmeldeformular auf den Bezug einer Invalidenrente durch den Ehemann hingewiesen hat. Statt den Angaben im Anmeldeformular näher nachzugehen, stellte er allein auf das Ergebnis des Kontenzusammenrufs ab. Entgegen den Ausführungen der Beklagten durfte er aber nicht davon ausgehen, dass es sich bei der fraglichen Rente um eine einfache Invalidenrente handelte. Auf Grund der gesetzlichen Regelung musste ihm vielmehr klar sein, dass es sich nur um eine Ehepaar-Invalidenrente handeln konnte, was den gleichzeitigen Bezug einer einfachen Altersrente durch die Ehefrau ausschloss ( Art. 33 IVG und Art. 21 AHVG ). Der Kassenfunktionär hat es daher auch BGE 105 V 119 S. 126 in dieser Hinsicht an der notwendigen Aufmerksamkeit fehlen lassen. d) Bei der Beurteilung des Verschuldens ist zu berücksichtigen, dass der Kassenfunktionär in doppelter Hinsicht nachlässig gehandelt hat und dass der Schaden unterblieben wäre, wenn er auch nur in einem Punkt mit der erforderlichen Sorgfalt vorgegangen wäre. Dabei fällt der erste Fehler nicht stark ins Gewicht. Abgesehen davon, dass die Unrichtigkeit des Versicherungsausweises verhältnismässig leicht übersehen werden konnte, musste der Kassenfunktionär nicht mit der Unrichtigkeit der im Ausweis enthaltenen Angaben rechnen. Es kann daher nicht gesagt werden, er habe gegen elementare Vorsichtspflichten verstossen und einen Fehler begangen, der einem pflichtbewussten Beamten unter den gleichen Umständen keinesfalls unterlaufen durfte. Schwerer wiegt die Nichtbeachtung des Hinweises auf die Invalidenrente. Es ist indessen zu berücksichtigen, dass es sich bei der Prüfung der Leistungsbegehren um eine eigentliche Massenarbeit handelt und dass die Anforderungen an die Kassenfunktionäre infolge der zunehmenden Kompliziertheit der Materie erheblich gestiegen sind. Fehlleistungen der vorliegenden Art erscheinen daher bis zu einem gewissen Grad als entschuldbar, weshalb es sich als unbillig erwiese, dem Kassenfunktionär wegen eines einmaligen solchen Vorfalls das Vertrauen zu entziehen und ihn, wenn auch nur mittelbar, für den sich hieraus ergebenden Schaden haften zu lassen. Werden beide Fehler in Betracht gezogen, so liegt mit Bezug auf das vorausgesetzte Verschulden ein Grenzfall vor. In Würdigung der gesamten Umstände erscheinen die begangenen Pflichtverletzungen jedoch nicht als dermassen schwer, dass eine grobe Fahrlässigkeit anzunehmen ist. Die Voraussetzungen zu einer Schadenersatzforderung gestützt auf Art. 70 Abs. 1 lit. b AHVG sind daher nicht erfüllt. Dispositiv Demnach erkennt das Eidg. Versicherungsgericht: Die verwaltungsrechtliche Klage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