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106</w:t>
      </w:r>
    </w:p>
    <w:p>
      <w:r>
        <w:t>Bundesgericht (BGE), 1979-01-29, DE</w:t>
      </w:r>
    </w:p>
    <w:p>
      <w:r>
        <w:rPr>
          <w:b/>
        </w:rPr>
        <w:t xml:space="preserve">Quelle: </w:t>
      </w:r>
      <w:r>
        <w:t>https://mcp.opencaselaw.ch/entscheid/bge_BGE_105_V_106</w:t>
      </w:r>
    </w:p>
    <w:p>
      <w:r>
        <w:t>FR: ATF 105 V 106</w:t>
      </w:r>
    </w:p>
    <w:p>
      <w:r>
        <w:t>IT: DTF 105 V 106</w:t>
      </w:r>
    </w:p>
    <w:p>
      <w:pPr>
        <w:pStyle w:val="Heading2"/>
      </w:pPr>
      <w:r>
        <w:t>Regeste</w:t>
      </w:r>
    </w:p>
    <w:p>
      <w:r>
        <w:t>Regeste Art. 96 AHVG schliesst die Anwendung kantonalrechtlicher Bestimmungen über den Stillstand der Fristen aus.</w:t>
      </w:r>
    </w:p>
    <w:p>
      <w:r>
        <w:t>Regeste L'art. 96 LAVS exclut l'application de dispositions de droit cantonal sur la suspension des délais.</w:t>
      </w:r>
    </w:p>
    <w:p>
      <w:r>
        <w:t>Regesto L'art. 96 LAVS esclude l'applicazione di disposizioni di diritto cantonale sulla sospensione dei termini.</w:t>
      </w:r>
    </w:p>
    <w:p>
      <w:pPr>
        <w:pStyle w:val="Heading2"/>
      </w:pPr>
      <w:r>
        <w:t>Erwägungen</w:t>
      </w:r>
    </w:p>
    <w:p>
      <w:r>
        <w:rPr>
          <w:b/>
        </w:rPr>
        <w:t>E. 1</w:t>
      </w:r>
    </w:p>
    <w:p>
      <w:r>
        <w:t>Nach Art. 69 IVG in Verbindung mit Art. 84 Abs. 1 AHVG kann gegen Verfügungen der Ausgleichskassen betreffend Leistungen der Invalidenversicherung innert 30 Tagen seit der Zustellung Beschwerde erhoben werden. Für die Fristen erklärt Art. 96 AHVG (gültig für die Invalidenversicherung gemäss Art. 81 IVG ) die Art. 20-24 des Bundesgesetzes über das Verwaltungsverfahren (VwVG) als anwendbar. Diese Bestimmungen decken sich im wesentlichen mit den Art. 32-35 des Bundesgesetzes über die Organisation der Bundesrechtspflege (OG) vom 16. Dezember 1943. Eine Art. 34 Abs. 1 OG entsprechende Regelung über den Stillstand der Fristen kennt das VwVG jedoch nicht. Im erstinstanzlichen Beschwerdeverfahren gegen Verfügungen der Ausgleichskassen gelten daher keine bundesrechtlichen Vorschriften über den Fristenstillstand.</w:t>
      </w:r>
    </w:p>
    <w:p>
      <w:r>
        <w:rPr>
          <w:b/>
        </w:rPr>
        <w:t>E. 2</w:t>
      </w:r>
    </w:p>
    <w:p>
      <w:r>
        <w:t>Streitig ist, ob das Bundesrecht eine Art. 34 Abs. 1 OG vergleichbare kantonale Regelung zulässt. Nach dem bis Ende 1972 gültig gewesenen Recht hatte die Überprüfung der Rechtzeitigkeit der Beschwerde im erstinstanzlichen BGE 105 V 106 S. 107 Verfahren nach Massgabe des kantonalen Verfahrensrechts zu erfolgen (ZAK 1973 S. 138). Während Art. 96 AHVG in der früheren Fassung lediglich Einzelfragen der Fristenberechnung regelte, richten sich gemäss dem ab 1. Januar 1973 gültigen Wortlaut der Bestimmung auch die Einhaltung und die Erstreckung der Fristen sowie die Säumnisfolgen und die Wiederherstellung einer Frist nach Bundesrecht. Auf diesen Gebieten ist daher die Anwendung weitergehenden oder einschränkenden kantonalen Rechts ausgeschlossen ( BGE 102 V 243 Erw. 2 a). Mit der Änderung von Art. 96 AHVG wurde das Verfahrensrecht auf dem Gebiete der Fristen vereinheitlicht. Dabei wurde die eingehende Ordnung des VwVG als Ganzes übernommen (vgl. hiezu Botschaft zur 8. AHV-Revision vom 11. Oktober 1971, BBl 1971 II 1134). Es kann daher nicht unberücksichtigt bleiben, dass im Rahmen dieser Regelung von einer Art. 34 Abs. 1 OG analogen Bestimmung abgesehen worden ist. Wie aus der Botschaft über das Verwaltungsverfahren vom 24. September 1965 hervorgeht (BBl 1965 II 1367), muss diesbezüglich ein qualifiziertes Schweigen des Gesetzes angenommen werden. Aus Art. 96 AHVG ergibt sich daher, dass das Bundesrecht auch mit Bezug auf die Frage des Fristenstillstandes keinen Raum für kantonales Verfahrensrecht offenlässt. Der Vorinstanz ist es somit verwehrt, kantonalrechtliche Bestimmungen über den Stillstand der Fristen auf Beschwerdeverfahren im AHV/IV-Recht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