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Ib 234 vom 1. Januar 1979</w:t>
      </w:r>
    </w:p>
    <w:p>
      <w:r>
        <w:t>Bundesgericht (BGE), 1979-01-01, DE</w:t>
      </w:r>
    </w:p>
    <w:p>
      <w:r>
        <w:rPr>
          <w:b/>
        </w:rPr>
        <w:t xml:space="preserve">Quelle: </w:t>
      </w:r>
      <w:r>
        <w:t>https://mcp.opencaselaw.ch/entscheid/bge_BGE_105_Ib_234</w:t>
      </w:r>
    </w:p>
    <w:p>
      <w:r>
        <w:t>FR: BGE BGE 105 Ib 234 du 1 janvier 1979</w:t>
      </w:r>
    </w:p>
    <w:p>
      <w:r>
        <w:t>IT: BGE BGE 105 Ib 234 del 1 gennaio 1979</w:t>
      </w:r>
    </w:p>
    <w:p>
      <w:pPr>
        <w:pStyle w:val="Heading2"/>
      </w:pPr>
      <w:r>
        <w:t>Regeste</w:t>
      </w:r>
    </w:p>
    <w:p>
      <w:r>
        <w:t>Regeste Verweigerung der Niederlassungsbewilligung bei Kantonswechsel. Dem Ausländer mit Niederlassungsbewilligung in einem Kanton darf bei Kantonswechsel die neue Bewilligung verweigert werden, wenn ein Ausweisungsgrund aus der Schweiz besteht.</w:t>
      </w:r>
    </w:p>
    <w:p>
      <w:r>
        <w:t>Regeste Refus du permis d'établissement en cas de changement de canton. L'étranger au bénéfice d'un permis d'établissement dans un canton peut se voir refuser l'octroi d'un nouveau permis en cas de changement de canton, s'il existe un motif justifiant son expulsion de Suisse.</w:t>
      </w:r>
    </w:p>
    <w:p>
      <w:r>
        <w:t>Regesto Diniego del permesso di domicilio in caso di cambiamento di cantone. In caso di cambiamento di cantone, si può rifiutare il nuovo permesso allo straniero già titolare di un permesso di domicilio in un cantone se sussiste un motivo d'espulsione dalla Svizzera.</w:t>
      </w:r>
    </w:p>
    <w:p>
      <w:pPr>
        <w:pStyle w:val="Heading2"/>
      </w:pPr>
      <w:r>
        <w:t>Erwägungen</w:t>
      </w:r>
    </w:p>
    <w:p>
      <w:r>
        <w:rPr>
          <w:b/>
        </w:rPr>
        <w:t>E. 3</w:t>
      </w:r>
    </w:p>
    <w:p>
      <w:r>
        <w:t>Gemäss Art. 1 des Niederlassungsvertrags zwischen der Schweiz und Deutschland sind die Angehörigen jedes vertragsschliessenden Teiles berechtigt, sich in dem Gebiete des andern Teiles ständig niederzulassen oder dauernd oder zeitweilig aufzuhalten, wenn und solange sie die dortigen Gesetze und Polizeiverordnungen befolgen. Nach Art. 2 wird durch diesen Anspruch das Recht der Staaten nicht berührt, Angehörigen des andern Staates die Niederlassung oder den Aufenthalt zu untersagen, sei es infolge eines strafgerichtlichen Urteils, sei es aus Gründen der inneren oder äusseren Sicherheit des Staates, sei es aus sonstigen polizeilichen Gründen, insbesondere aus Gründen der Gesundheits-, Sitten- oder Armenpolizei. Der Beschwerdeführer macht zu Recht nicht geltend, der angefochtene Entscheid verletze diese staatsvertragliche Regelung, sondern er stützt sich ausschliesslich auf das schweizerische Landesrecht. BGE 105 Ib 234 S. 236 Nach Art. 14 Abs. 4 ANAV kann dem Ausländer mit Niederlassungsbewilligung bei Wechsel des Kantons die neue Bewilligung verweigert werden, wenn ein Widerruf- oder Erlöschungsgrund vorliegt. Die Niederlassungsbewilligung erlischt unter anderem mit der Ausweisung ( Art. 9 Abs. 3 lit. b ANAG ). Nach der Rechtsprechung muss die Ausweisung nicht verfügt oder vollzogen worden sein, um die Niederlassungsbewilligung im neuen Kanton zu verweigern, sondern es genügt, wenn ein Ausweisungsgrund vorliegt ( BGE 101 Ib 225 f.). Nach Art. 10 Abs. 1 lit. a ANAG kann ein Ausländer aus der Schweiz oder einem Kanton ausgewiesen werden, wenn er wegen eines Verbrechens oder Vergehens gerichtlich bestraft wurde. Die Ausweisung soll indessen nur verfügt werden, wenn sie nach den gesamten Umständen angemessen erscheint. Für die Beurteilung der Angemessenheit sind gemäss Art. 16 Abs. 3 ANAV namentlich wichtig die Schwere des Verschuldens des Ausländers, die Dauer seiner Anwesenheit in der Schweiz sowie die ihm und seiner Familie drohenden Nachteile. Die Frage der Angemessenheit einer Ausweisungsverfügung haben in erster Linie die kantonalen Behörden zu entscheiden. Das Bundesgericht prüft auf Verwaltungsgerichtsbeschwerde hin ausschliesslich, ob die entscheidende Behörde ihr Ermessen überschritten oder missbraucht hat ( BGE 98 Ib 3 f.; Art. 104 lit. a OG ). Wenn eine Ausweisung nach Art. 10 Abs. 1 lit. a OG zwar rechtlich begründet, aber nach den Umständen nicht angemessen erscheint, soll sie bloss angedroht werden ( Art. 16 Abs. 3 ANAV ). Die Niederlassungsbewilligung im neuen Kanton darf deshalb verweigert werden, wenn ein Ausweisungsgrund sowohl in rechtlicher Hinsicht ( Art. 10 ANAG ) als auch gemäss Ermessensabwägung ( Art. 11 Abs. 3 ANAG ) gegeben ist. Es wird häufig vorkommen, dass der frühere Niederlassungskanton seine Bewilligung nicht widerruft, so dass der Ausländer jederzeit in den früheren Kanton zurückkehren könnte. Es geht indessen nicht an, die Niederlassungsbewilligung im neuen Kanton mit der Begründung zu verweigern, dass zwar die Ausweisung aus der Schweiz nach den Umständen eine unzumutbare Härte für den Betroffenen darstellen würde, dass die Ausweisung aus dem neuen Kanton aber nicht unangemessen sei, weil der Gesuchsteller im bisherigen Niederlassungskanton bleiben könne; denn stets muss ein Ausweisungsgrund aus der Schweiz gegeben sein. Vorausgesetzt werden also BGE 105 Ib 234 S. 237 Gründe, welche den Widerruf oder das Erlöschen der ursprünglichen Niederlassungsbewilligung rechtfertigen würden. In diesem Sinn ist BGE 101 Ib 225 zu präzisieren. Das bedeutet nicht, dass die Verweigerung der Niederlassungsbewilligung in einem neuen Kanton die Ausweisung aus dem bisherigen Niederlassungskanton voraussetzt. Wenn ein Kanton eine Ausweisung schon Niedergelassener nicht ausspricht, obwohl die Voraussetzungen dazu gegeben wären, kann deswegen ein andere Kanton nicht verpflichtet werden, seinerseits eine Niederlassungsbewilligung zu erteilen.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