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209 vom 1. Januar 1979</w:t>
      </w:r>
    </w:p>
    <w:p>
      <w:r>
        <w:t>Bundesgericht (BGE), 1979-01-01, DE</w:t>
      </w:r>
    </w:p>
    <w:p>
      <w:r>
        <w:rPr>
          <w:b/>
        </w:rPr>
        <w:t xml:space="preserve">Quelle: </w:t>
      </w:r>
      <w:r>
        <w:t>https://mcp.opencaselaw.ch/entscheid/bge_BGE_105_Ib_209</w:t>
      </w:r>
    </w:p>
    <w:p>
      <w:r>
        <w:t>FR: BGE BGE 105 Ib 209 du 1 janvier 1979</w:t>
      </w:r>
    </w:p>
    <w:p>
      <w:r>
        <w:t>IT: BGE BGE 105 Ib 209 del 1 gennaio 1979</w:t>
      </w:r>
    </w:p>
    <w:p>
      <w:pPr>
        <w:pStyle w:val="Heading2"/>
      </w:pPr>
      <w:r>
        <w:t>Regeste</w:t>
      </w:r>
    </w:p>
    <w:p>
      <w:r>
        <w:t>Regeste Waldqualität; Art. 1 Abs. 3 FPolV. Eine Garten- und Parkanlage liegt vor, wenn typische Parkbäume gepflanzt und andere für Gärten und Pärke typische Anlagen (Wege, Mäuerchen, Bänke) geschaffen wurden. Müssen die beiden Voraussetzungen kumulativ oder bloss alternativ gegeben sein? (Frage offen gelassen.)</w:t>
      </w:r>
    </w:p>
    <w:p>
      <w:r>
        <w:t>Regeste Qualité de forêt; art. 1 al. 3 OFor. Il y a jardins et parcs installés au sens de cette disposition lorsqu'on a planté des arbres spécialement destinés aux parcs et qu'on a fait des aménagements spéciaux pour parcs et jardins, tels que des sentiers, des murets ou des bancs. Ces deux conditions sont-elles cumulatives ou seulement alternatives? (Question laissée ouverte.)</w:t>
      </w:r>
    </w:p>
    <w:p>
      <w:r>
        <w:t>Regesto Nozione di bosco; art. 1 cpv. 3 OVPF. Si è in presenza di un giardino o parco ai sensi di questa disposizione laddove siano stati piantati alberi specialmente destinati a parchi e siano state create installazioni tipicamente riscontrabili in parchi o giardini (sentieri, muretti, panchine). Tali presupposti devono esistere cumulativamente o alternativamente? (Questione lasciata indecisa.)</w:t>
      </w:r>
    </w:p>
    <w:p>
      <w:pPr>
        <w:pStyle w:val="Heading2"/>
      </w:pPr>
      <w:r>
        <w:t>Erwägungen</w:t>
      </w:r>
    </w:p>
    <w:p>
      <w:r>
        <w:rPr>
          <w:b/>
        </w:rPr>
        <w:t>E. 1</w:t>
      </w:r>
    </w:p>
    <w:p>
      <w:r>
        <w:t>Die Beschwerdeführerin macht geltend, bei dem Baumbestand auf den Parzellen Nr. 2030/2031 handle es sich nicht um Waldwuchs im Sinne von Art. 1 Abs. 1 FPolV , welcher der Forstpolizeigesetzgebung unterstellt ist, sondern um "Parkwald", also um eine "Parkanlage" im Sinne von Art. 1 Abs. 3 FPolV . Die Bäume seien vor etwa 50 Jahren anlässlich der Schaffung des Parkes des "Château Bruxelles" gepflanzt worden. Die kantonale Behörde betrachtet den Baumbestand jedoch als Waldwuchs. Nach Art. 1 Abs. 3 FPolV gelten Garten- und Parkanlagen, die auf früher offenem Land angelegt sind, nicht als Wald. Von einer Garten- und Parkanlage im Sinne dieser Bestimmung kann jedoch nach der Rechtsprechung des Bundesgerichtes nur die Rede sein, wo typische Parkbäume gepflanzt wurden, die sich vom einheimischen regionalen Waldwuchs unterscheiden, und wo andere für Gärten und Pärke typische Anlagen wie Wege, Mäuerchen, Bänke, etc., geschaffen wurden (vgl. nicht veröffentlichte Urteile Damantina S.A. vom 2. Februar 1973 E. 2 und Dros S.A. vom 17. Juni 1977 E. 2b). Die bisherige Praxis ging davon aus, dass beide Voraussetzungen - besondere Baumart und eigentliche Anlagen des Gartenbaus - kumulativ erfüllt sein müssten. Es fragt sich, ob im Einzelfall nicht auch das Vorliegen bloss einer der beiden Voraussetzungen zur Annahme einer Garten- oder Parkanlage genügen kann, denn wesentlich ist jedenfalls der Gesamtcharakter der Anlage. Die Frage kann hier indessen offen bleiben, da keine der beiden Voraussetzungen gegeben ist: Wie der Augenschein gezeigt hat (vgl. Fotos), fehlen besondere Anlagen und enthält die geschlossene Arvenbestockung (mit älteren Lärchengruppen) keine Parkbäume, sondern sie entspricht dem regionalen Waldwuchs. Von einer "Parkanlage" im Sinne von Art. 1 Abs. 3 FPolV kann somit nicht gesprochen werden; es handelt sich vielmehr um planmässig angelegtes Waldareal. Der Baumbestand untersteht daher im Sinne von Art. 1 Abs. 1 FPolV dem Schutze der Forstpolizeigesetzgebung.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