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114 vom 1. Januar 1979</w:t>
      </w:r>
    </w:p>
    <w:p>
      <w:r>
        <w:t>Bundesgericht (BGE), 1979-01-01, FR</w:t>
      </w:r>
    </w:p>
    <w:p>
      <w:r>
        <w:rPr>
          <w:b/>
        </w:rPr>
        <w:t xml:space="preserve">Quelle: </w:t>
      </w:r>
      <w:r>
        <w:t>https://mcp.opencaselaw.ch/entscheid/bge_BGE_105_Ib_114</w:t>
      </w:r>
    </w:p>
    <w:p>
      <w:r>
        <w:t>FR: BGE BGE 105 Ib 114 du 1 janvier 1979</w:t>
      </w:r>
    </w:p>
    <w:p>
      <w:r>
        <w:t>IT: BGE BGE 105 Ib 114 del 1 gennaio 1979</w:t>
      </w:r>
    </w:p>
    <w:p>
      <w:pPr>
        <w:pStyle w:val="Heading2"/>
      </w:pPr>
      <w:r>
        <w:t>Regeste</w:t>
      </w:r>
    </w:p>
    <w:p>
      <w:r>
        <w:t>Regeste Führerausweisentzug wegen Überschreitung der Höchstgeschwindigkeit. Beweislastverteilung. Einem Motorfahrzeugführer darf der Führerausweis nur entzogen oder eine Verwarnung ausgesprochen werden, wenn hinreichend nachgewiesen ist, dass er eine Verkehrsregelverletzung begangen hat. Wenn lediglich die Verkehrsregelverletzung festgestellt, der Führer aber nicht identifiziert werden kann, darf sich die Behörde nicht auf die Vermutung beschränken, dass der Halter des Fahrzeugs auch dessen Lenker im Zeitpunkt der Verkehrsregelverletzung gewesen sei und die Beweisführungspflicht für das Gegenteil dem Halter zuschieben. Mitwirkungspflichten des Halters bei der Abklärung des Sachverhalts und Folgen der Verletzung dieser Pflichten. Wenn die Angaben des Halters nicht unglaubwürdig sind und ihm auch nicht nachgewiesen werden kann, dass er das Fahrzeug im fraglichen Zeitpunkt gelenkt hat, muss die Behörde auf jede Massnahme gegen ihn verzichten.</w:t>
      </w:r>
    </w:p>
    <w:p>
      <w:r>
        <w:t>Regeste Retrait du permis de conduire pour excès de vitesse. Charge de la preuve. Le conducteur d'un véhicule automobile ne saurait se voir infliger un avertissement ou un retrait de permis d'admonestation que s'il est établi à satisfaction de droit qu'il est bien l'auteur de cette infraction. Lorsqu'une infraction a été dûment constatée, sans que son auteur puisse être identifié, l'autorité ne saurait se borner à présumer que le véhicule était piloté par son détenteur, sauf à ce dernier à rapporter la preuve qu'il l'était en réalité par un tiers. Obligation du détenteur de collaborer à l'établissement des faits et conséquences de la violation de ce devoir. Si ses affirmations ne paraissent pas absolument invraisemblables et qu'il ne soit pas possible de rapporter la preuve qu'il conduisait au moment critique, l'autorité doit renoncer à toute mesure contre lui.</w:t>
      </w:r>
    </w:p>
    <w:p>
      <w:r>
        <w:t>Regesto Revoca della licenza di condurre per eccesso di velocità. Onere della prova. Un ammonimento o una revoca della licenza di condurre può essere inflitto ad un conducente di un veicolo a motore soltanto ove sia provato in modo conforme al diritto che egli è l'autore dell'infrazione posta a suo carico. Allorquando un'infrazione sia stata debitamente accertata, ma il suo autore non sia stato identificato, l'autorità non può limitarsi a presumere che il veicolo fosse guidato dal suo detentore e a lasciare a questi l'onere di provare che il veicolo era guidato da un terzo. Obbligo del detentore di collaborare nell'accertamento dei fatti, e conseguenze della violazione di tale obbligo. Se le affermazioni del detentore non paiono del tutto inverosimili e non sia possibile provare che egli guidava al momento dell'infrazione, l'autorità deve rinunciare ad adottare una misura nei suoi confronti.</w:t>
      </w:r>
    </w:p>
    <w:p>
      <w:pPr>
        <w:pStyle w:val="Heading2"/>
      </w:pPr>
      <w:r>
        <w:t>Erwägungen</w:t>
      </w:r>
    </w:p>
    <w:p>
      <w:r>
        <w:rPr>
          <w:b/>
        </w:rPr>
        <w:t>E. 1</w:t>
      </w:r>
    </w:p>
    <w:p>
      <w:r>
        <w:t>a) Le conducteur d'un véhicule automobile ne saurait se voir infliger un avertissement ou un retrait de permis d'admonestation pour violation des règles de la circulation que s'il est établi à satisfaction de droit qu'il BGE 105 Ib 114 S. 117 est bien l'auteur de cette infraction. Autrement dit, l'autorité ne peut prononcer ou confirmer sur recours une telle mesure que si elle a acquis la conviction que c'est bien l'intéressé lui-même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Appliqué par la jurisprudence en matière de responsabilité pénale ( ATF 102 IV 258 ), ce principe doit valoir aussi bien en matière de mesures administratives prises contre un automobiliste. Sans doute, lorsque l'auteur d'une infraction constatée ne peut être identifié sur-le-champ, l'autorité peut-elle, dans un premier temps, partir de l'idée que le détenteur du véhicule en question en était aussi le conducteur au moment critique. Mais dès lors que cette version est contestée par l'intéressé, il appartient à l'autorité compétente pour prononcer (ou pour confirmer) une éventuelle mesure administrative d'intervenir immédiatement pour provoquer les explications de celui-ci, qui est alors tenu de les fournir dans toute la mesure où l'on peut raisonnablement les attendre de lui, et de prendre, le cas échéant, de sa propre initiative, en vertu de la maxime officielle qui régit ce type de procédures administratives, toute mesure d'instruction propre à élucider cette question. Si l'intéressé se soustrait sans motif valable à ce devoir de collaboration ou si la version des faits qu'il soutient apparaît d'emblée dénuée de toute vraisemblance, il appartiendra à l'autorité d'apprécier sur la base de l'ensemble des circonstances du cas si l'on peut néanmoins considérer comme suffisamment établi qu'il est l'auteur de l'infraction incriminée (arrêt du 9 juillet 1971, en la cause Kramer, partiellement publié aux ATF 97 I 479 , consid. 2 non publié, résumé au JdT 1972 I 399). Si, en revanche, la version des faits donnée par le détenteur ne paraît pas absolument invraisemblable et qu'il ne soit pas possible par ailleurs de rapporter la preuve que celui-ci conduisait son véhicule au moment critique, l'autorité devra renoncer à toute mesure contre lui. C'est à cette dernière, en effet, qu'incombe le fardeau de la preuve, s'agissant d'une mesure restreignant la liberté de l'intéressé, et c'est donc elle qui doit supporter les conséquences d'un éventuel échec de la preuve. BGE 105 Ib 114 S. 118 b) Comme le relève le Tribunal administratif, dont les constatations de fait lient le Tribunal fédéral ( art. 105 al. 2 OJ ), deux personnes se trouvaient à bord du véhicule au moment critique et le recourant ne conteste pas avoir été l'une d'elles. Il nie en revanche avoir piloté le véhicule à ce moment. Le Tribunal administratif n'affirme pas être parvenu à une conclusion contraire après avoir procédé à une appréciation de l'ensemble des circonstances de la cause. Il se borne au contraire à déclarer que le recourant n'est pas parvenu à renverser la présomption que posait la présence de son véhicule à l'endroit et au moment critiques. Il y a donc sur ce point non pas constatation de fait qui lierait le Tribunal fédéral, mais application d'une présomption qui, comme on l'a vu, ne saurait suffire à fonder une mesure administrative. L'arrêt déféré ne peut donc être maintenu. Le recours doit être admis et l'affaire renvoyée au Tribunal administratif,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