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47 vom 1. Januar 1979</w:t>
      </w:r>
    </w:p>
    <w:p>
      <w:r>
        <w:t>Bundesgericht (BGE), 1979-01-01, DE</w:t>
      </w:r>
    </w:p>
    <w:p>
      <w:r>
        <w:rPr>
          <w:b/>
        </w:rPr>
        <w:t xml:space="preserve">Quelle: </w:t>
      </w:r>
      <w:r>
        <w:t>https://mcp.opencaselaw.ch/entscheid/bge_BGE_105_Ia_47</w:t>
      </w:r>
    </w:p>
    <w:p>
      <w:r>
        <w:t>FR: BGE BGE 105 Ia 47 du 1 janvier 1979</w:t>
      </w:r>
    </w:p>
    <w:p>
      <w:r>
        <w:t>IT: BGE BGE 105 Ia 47 del 1 gennaio 1979</w:t>
      </w:r>
    </w:p>
    <w:p>
      <w:pPr>
        <w:pStyle w:val="Heading2"/>
      </w:pPr>
      <w:r>
        <w:t>Regeste</w:t>
      </w:r>
    </w:p>
    <w:p>
      <w:r>
        <w:t>Regeste Beschwerde privater wegen Verletzung des Art. 4 BV und der Gemeindeautonomie. Ein Privater kann im Rahmen einer staatsrechtlichen Beschwerde wegen Verletzung seiner verfassungsmässigen Rechte nur dann vorfrageweise eine Verletzung der Gemeindeautonomie rügen, wenn an sich auf die Beschwerde wegen Verletzung seiner verfassungsmässigen Rechte eingetreten werden kann.</w:t>
      </w:r>
    </w:p>
    <w:p>
      <w:r>
        <w:t>Regeste Recours d'un particulier pour violation de l'art. 4 Cst. et de l'autonomie communale. Dans le cadre d'un recours de droit public pour violation de droits constitutionnels des citoyens, un particulier ne peut invoquer à titre préjudiciel une violation de l'autonomie communale que si son recours pour violation de ses droits constitutionnels est en soi recevable.</w:t>
      </w:r>
    </w:p>
    <w:p>
      <w:r>
        <w:t>Regesto Ricorso di un privato per violazione dell'art. 4 Cost. e dell'autonomia comunale. Nel quadro di un ricorso di diritto pubblico per violazione dei suoi diritti costituzionali, un privato può invocare a titolo pregiudiziale una violazione dell'autonomia comunale soltanto se il ricorso per violazione dei suoi diritti costituzionali è di per sé ammissibile.</w:t>
      </w:r>
    </w:p>
    <w:p>
      <w:pPr>
        <w:pStyle w:val="Heading2"/>
      </w:pPr>
      <w:r>
        <w:t>Erwägungen</w:t>
      </w:r>
    </w:p>
    <w:p>
      <w:r>
        <w:rPr>
          <w:b/>
        </w:rPr>
        <w:t>E. 1</w:t>
      </w:r>
    </w:p>
    <w:p>
      <w:r>
        <w:t>Nach Art. 87 OG ist die staatsrechtliche Beschwerde wegen Verletzung von Art. 4 BV erst gegen letztinstanzliche Endentscheide zulässig, gegen letztinstanzliche Zwischenentscheide nur, wenn sie für den Betroffenen einen nicht wiedergutzumachenden BGE 105 Ia 47 S. 48 Nachteil zur Folge haben. Das Urteil des Verwaltungsgerichts schliesst das kantonale Verfahren nicht ab; die Sache wurde an die Gemeindebehörde zurückgewiesen, damit sie über das Baugesuch neu entscheide. Entscheide, mit denen eine Sache zu neuer Entscheidung an eine untere Instanz zurückgewiesen wird, sind Zwischenentscheide, die in der Regel - und so auch hier - für den Betroffenen keinen irreparablen Nachteil zur Folge haben ( BGE 99 Ia 44 und 249; BGE 93 I 453 ; BGE 86 I 39 ; LUDWIG, ZBJV 110/1974, S. 170). Da sich die Beschwerdeführer über eine Verletzung des Art. 4 BV beklagen, kann unter diesem Gesichtspunkt nicht auf die Beschwerde eingetreten werden.</w:t>
      </w:r>
    </w:p>
    <w:p>
      <w:r>
        <w:rPr>
          <w:b/>
        </w:rPr>
        <w:t>E. 2</w:t>
      </w:r>
    </w:p>
    <w:p>
      <w:r>
        <w:t>Während die Gemeinde Laax das Urteil des Verwaltungsgerichts nicht wegen Verletzung ihrer Autonomie angefochten hat, machen die Beschwerdeführer auch eine Verletzung der Gemeindeautonomie geltend. Ein Privater kann nicht selbständig wegen Verletzung dieser Autonomie staatsrechtliche Beschwerde führen. Dagegen kann er im Rahmen einer staatsrechtlichen Beschwerde wegen Verletzung seiner verfassungsmässigen Rechte vorfrage- oder hilfsweise geltend machen, der angefochtene Entscheid verstosse gegen die Gemeindeautonomie ( BGE 99 Ia 252 mit Hinweisen;, ZIMMERLI, ZBl 73/1972, S. 272 ff.). So kann sich z.B. ein Bürger - wie es hier getan wird - im Rahmen einer Beschwerde wegen Verletzung des Art. 4 BV über einen unzulässigen Eingriff in die Autonomie der Gemeinde beklagen. Macht ein privater Beschwerdeführer von dieser Möglichkeit Gebrauch, so ändert sich indessen nichts an der Rechtsnatur seiner Beschwerde. Sie bleibt eine Beschwerde wegen Verletzung eines verfassungsmässigen Rechts des Bürgers. Dieser kann deshalb nur dann vorfrageweise eine Verletzung der Gemeindeautonomie rügen, wenn an sich auf die Beschwerde wegen Verletzung seiner verfassungsmässigen Rechte eingetreten werden kann. Das ist hier, wie ausgeführt, nicht der Fall; die Beschwerdeführer beklagen sich über eine Verletzung des Art. 4 BV , und auf diese Beschwerde kann aus den angeführten Gründen nicht eingetreten werden. Die im Rahmen der Willkürbeschwerde erhobene Rüge der Verletzung der Gemeindeautonomie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