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300</w:t>
      </w:r>
    </w:p>
    <w:p>
      <w:r>
        <w:t>Bundesgericht (BGE), 1979-01-01, DE</w:t>
      </w:r>
    </w:p>
    <w:p>
      <w:r>
        <w:rPr>
          <w:b/>
        </w:rPr>
        <w:t xml:space="preserve">Quelle: </w:t>
      </w:r>
      <w:r>
        <w:t>https://mcp.opencaselaw.ch/entscheid/bge_BGE_105_IV_300</w:t>
      </w:r>
    </w:p>
    <w:p>
      <w:r>
        <w:t>FR: ATF 105 IV 300</w:t>
      </w:r>
    </w:p>
    <w:p>
      <w:r>
        <w:t>IT: DTF 105 IV 300</w:t>
      </w:r>
    </w:p>
    <w:p>
      <w:pPr>
        <w:pStyle w:val="Heading2"/>
      </w:pPr>
      <w:r>
        <w:t>Regeste</w:t>
      </w:r>
    </w:p>
    <w:p>
      <w:r>
        <w:t>Regeste Art. 139 Ziff. 2 StGB. Schwerer Raub durch Bedrohung mit dem Tode. Die Todesdrohung muss objektiv unmittelbar ausführbar sein und das Opfer in eine erhebliche Todesgefahr versetzt werden. Auf die Bereitschaft oder Absicht des Täters, die Todesdrohung notfalls zu verwirklichen, kommt es nicht an (Bestätigung der Rechtsprechung).</w:t>
      </w:r>
    </w:p>
    <w:p>
      <w:r>
        <w:t>Regeste Art. 139 ch. 2 CP. Brigandage qualifié, menace de mort. La menace de mort doit objectivement avoir pu être mise à exécution immédiatement et la victime doit avoir été placée devant un grave danger de mort. Peu importe la détermination ou la volonté de l'auteur d'accomplir le cas échéant sa menace (confirmation de jurisprudence).</w:t>
      </w:r>
    </w:p>
    <w:p>
      <w:r>
        <w:t>Regesto Art. 139 n. 2 CP. Rapina qualificata, minaccia di morte. La minaccia di morte deve obiettivamente poter essere attuata immediatamente e la vittima deve essere posta dinnanzi a un grave pericolo di morte. La determinazione o la volontà dell'agente di attuare eventualmente la minaccia non è a tal proposito rilevante (conferma della giurisprudenza).</w:t>
      </w:r>
    </w:p>
    <w:p>
      <w:pPr>
        <w:pStyle w:val="Heading2"/>
      </w:pPr>
      <w:r>
        <w:t>Erwägungen</w:t>
      </w:r>
    </w:p>
    <w:p>
      <w:r>
        <w:rPr>
          <w:b/>
        </w:rPr>
        <w:t>E. 1</w:t>
      </w:r>
    </w:p>
    <w:p>
      <w:r>
        <w:t>Wer in der Absicht, einen Diebstahl zu begehen, oder wer, auf einem Diebstahl betreten, an einer Person Gewalt verübt, sie mit einer gegenwärtigen Gefahr für Leib und Leben bedroht oder sie in anderer Weise zum Widerstand unfähig macht, wird mit Zuchthaus oder mit Gefängnis nicht unter sechs Monaten bestraft ( Art. 139 Ziff. 1 StGB ; sog. einfacher Raub). Nach Art. 139 Ziff. 2 StGB wird der Räuber aber unter anderem dann mit Zuchthaus nicht unter fünf Jahren bestraft, wenn er jemanden mit dem Tode bedroht (sog. schwerer Raub). In Praxis und Doktrin ist kontrovers, nach welchen Kriterien die Bedrohung mit einer gegenwärtigen Gefahr für Leib und Leben von der Bedrohung mit dem Tode abzugrenzen BGE 105 IV 300 S. 302 sei. Strafgericht und Obergericht des Kantons Basel-Landschaft vertreten unter Berufung auf verschiedene Autoren (STRATENWERTH, Schweizerisches Strafrecht, Besonderer Teil, Bd. I, S. 205 f., SCHWANDER, Das schweizerische Strafgesetzbuch, Nr. 541, GERMANN, Verbrechen, S. 265 N. 6 i.V.m. S. 261 N. 13) die Ansicht, eine Todesdrohung im Sinne von Art. 139 Ziff. 2 StGB könne nur dann angenommen werden, wenn der Täter den Vorsatz habe, sie notfalls zu verwirklichen. Demgegenüber ist nach der Rechtsprechung des Bundesgerichts Art. 139 Ziff. 2 StGB anwendbar, wenn der Täter die - ernst genommene - Todesdrohung objektiv unmittelbar verwirklichen kann und das Opfer nach den Umständen, insbesondere nach der Art der Drohung, tatsächlich einer grossen Todesgefahr ausgesetzt ist ( BGE 102 IV 19 ; vgl. auch BGE 72 IV 57 f.); in diesem Fall ist die Voraussetzung der besonderen Gefährlichkeit des Täters als erfüllt zu betrachten. Andere Rechtsordnungen lassen bereits das Mitführen von Schusswaffen als Qualifikationsgrund genügen (§ 250 Abs. 1 Ziff. 1 des Deutschen Strafgesetzbuches, vgl. auch Art. 381 al. 1 des Code pénal français).</w:t>
      </w:r>
    </w:p>
    <w:p>
      <w:r>
        <w:rPr>
          <w:b/>
        </w:rPr>
        <w:t>E. 2</w:t>
      </w:r>
    </w:p>
    <w:p>
      <w:r>
        <w:t>Der vorliegende Fall gibt keinen Anlass zur Änderung dieser Rechtsprechung. Es ist vielmehr daran festzuhalten, dass es auf die Bereitschaft oder Absicht des Täters, die Todesdrohung zu verwirklichen, nicht ankommt; dies gestützt auf die Entstehungsgeschichte von Art. 139 StGB und die Tatsache, dass in keiner andern Bestimmung des StGB die Strafbarkeit der Drohung vom Verwirklichungswillen des Täters abhängig gemacht wird, ferner auch aus der praktischen Überlegung heraus, dass die Verwirklichungsbereitschaft im Falle der Bestreitung schwer nachzuweisen wäre. Wer bei einem Raub eine scharf geladene, schussbereite Waffe auf kurze Distanz auf einen Menschen richtet, ist in der Regel ungeachtet seiner Absichten besonders gefährlich im Sinne von Art. 139 Ziff. 2 StGB . Aufregung, unvorhergesehene Reaktion des Opfers, Eingreifen eines Dritten, etc. können, gerade auch beim Gelegenheitsdelinquenten, zu einer plötzlichen Fehlreaktion führen. Dass im übrigen der Beschwerdegegner eine Schussabgabe nicht schlechtweg ausschloss, verrät sein Schreckschuss bei seiner Flucht.</w:t>
      </w:r>
    </w:p>
    <w:p>
      <w:r>
        <w:rPr>
          <w:b/>
        </w:rPr>
        <w:t>E. 3</w:t>
      </w:r>
    </w:p>
    <w:p>
      <w:r>
        <w:t>Entgegen der Auffassung der kantonalen Instanzen und des Beschwerdegegners befand sich die Kassierin in einer BGE 105 IV 300 S. 303 erheblichen unmittelbaren Todesgefahr. Daran ändert nichts, dass F. seinen Finger nicht auf dem Drücker des Revolvers, sondern auf der Aussenseite des Bügels hielt und dass der dicke Handschuh, den er trug, den raschen und präzisen Griff zum Drücker erschwerte; die Schussabgabe konnte gleichwohl innert kürzester Zeit erfolgen. Sie gelang F. auch ohne weiteres, sogar während er davonlief. Es kann keine Rede davon sein, dass der Beschwerdegegner irgendwelche Hindernisse hätte beseitigen müssen, um seine Todesdrohung wahr zu machen.</w:t>
      </w:r>
    </w:p>
    <w:p>
      <w:r>
        <w:rPr>
          <w:b/>
        </w:rPr>
        <w:t>E. 4</w:t>
      </w:r>
    </w:p>
    <w:p>
      <w:r>
        <w:t>Schliesslich ist unerheblich, ob die Kassierin durch das Verhalten von F. oder dasjenige seines Komplizen zum Widerstand unfähig gemacht wurde. Der Kausalzusammenhang zwischen der Drohung und der Widerstandsunfähigkeit ist ein objektives Tatbestandsmerkmal; es genügt, wenn einer der Mittäter dieses durch seine Handlungsweise verwirklichte.</w:t>
      </w:r>
    </w:p>
    <w:p>
      <w:r>
        <w:rPr>
          <w:b/>
        </w:rPr>
        <w:t>E. 5</w:t>
      </w:r>
    </w:p>
    <w:p>
      <w:r>
        <w:t>Der Anwalt des Beschwerdegegners hat auf Aufforderung des Bundesgerichts hin eine Vernehmlassung eingereicht; er ist für seine Bemühungen mit Fr. 400.- aus der Bundesgerichtskasse zu entschädigen.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