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181</w:t>
      </w:r>
    </w:p>
    <w:p>
      <w:r>
        <w:t>Bundesgericht (BGE), 1979-01-01, DE</w:t>
      </w:r>
    </w:p>
    <w:p>
      <w:r>
        <w:rPr>
          <w:b/>
        </w:rPr>
        <w:t xml:space="preserve">Quelle: </w:t>
      </w:r>
      <w:r>
        <w:t>https://mcp.opencaselaw.ch/entscheid/bge_BGE_105_IV_181</w:t>
      </w:r>
    </w:p>
    <w:p>
      <w:r>
        <w:t>FR: ATF 105 IV 181</w:t>
      </w:r>
    </w:p>
    <w:p>
      <w:r>
        <w:t>IT: DTF 105 IV 181</w:t>
      </w:r>
    </w:p>
    <w:p>
      <w:pPr>
        <w:pStyle w:val="Heading2"/>
      </w:pPr>
      <w:r>
        <w:t>Regeste</w:t>
      </w:r>
    </w:p>
    <w:p>
      <w:r>
        <w:t>Regeste Art. 18 Abs. 2, 20, 137 Ziff. 2 StGB. Der Täter, der nicht weiss, dass nach der Rechtsprechung zwei Personen zur Bildung einer Bande im Sinne von Art. 137 Ziff. 2 StGB genügen, kann gleichwohl aufgrund dieser Bestimmung bestraft werden, wenn er die Tatsachen, aus denen das Gericht den rechtlichen Schluss auf bandenmässige Tatbegehung zieht, kannte und wollte (E. 4b). Diese Unkenntnis begründet keinen Rechtsirrtum (E. 4c).</w:t>
      </w:r>
    </w:p>
    <w:p>
      <w:r>
        <w:t>Regeste Art. 18 al. 2, 20, 137 ch. 2 CP. L'auteur qui ignore qu'au regard de la jurisprudence deux personnes suffisent à constituer le cas échéant une bande au sens de l'art. 137 ch. 2 CP, peut néanmoins être condamné sur la base de cette disposition à la condition toutefois qu'il ait connu et voulu la réalisation des éléments de fait sur lesquels le tribunal s'est fondé pour estimer que la circonstance de l'acte commis en bande était réalisée (consid. 4 litt. b). Cette méconnaissance ne saurait en tout cas pas mettre l'auteur au bénéfice de l'erreur de droit (consid. 4 litt. c).</w:t>
      </w:r>
    </w:p>
    <w:p>
      <w:r>
        <w:t>Regesto Art. 18 cpv. 2, 20, 137 n. 2 CP. L'agente il quale ignora che, secondo la giurisprudenza, bastano due persone per costituire una banda ai sensi dell'art. 137 n. 2 CP, può essere ciononostante condannato in base a tale disposizione ove abbia conosciuto e voluto i fatti su cui s'è fondato il tribunale per ammettere che il reato è stato commesso da associati ad una banda (consid. 4b). L'ignoranza di cui sopra non consente all'agente d'invocare l'errore di diritto (consid. 4c).</w:t>
      </w:r>
    </w:p>
    <w:p>
      <w:pPr>
        <w:pStyle w:val="Heading2"/>
      </w:pPr>
      <w:r>
        <w:t>Erwägungen</w:t>
      </w:r>
    </w:p>
    <w:p>
      <w:r>
        <w:rPr>
          <w:b/>
        </w:rPr>
        <w:t>E. 4</w:t>
      </w:r>
    </w:p>
    <w:p>
      <w:r>
        <w:t>Zutreffend gewürdigt hat die Vorinstanz auch den Einwand der Beschwerdeführer, sie seien in Kenntnis des italienischen Rechts, wonach erst drei oder vier Täter eine Bande bildeten, bewusst nur zu zweit aufgetreten, um dem Vorwurf der Bandenmässigkeit zu entgehen; es fehle mithin bezüglich der Bandenmässigkeit am notwendigen Vorsatz. a) Sollten die Beschwerdeführer tatsächlich aus diesem Grunde auf die Mitwirkung weiterer Komplizen verzichtet haben, so würde gerade auch dadurch ihre besondere Gefährlichkeit bestätigt. Sie delinquierten mit kühler Planung, die auch die Möglichkeit einer Verhaftung einbezog. Sie wollten BGE 105 IV 181 S. 182 sich für diesen Fall eine günstigere Position vor Gericht verschaffen, wie allenfalls auch die bereits erwähnten unbewaffneten Einbrecher. Gleichzeitig wollten sie aber auf die Vorteile eines Zusammenwirkens nicht verzichten. b) Ob Bandenmässigkeit gegeben ist, ist eine Rechtsfrage. Der Täter muss nicht wissen, dass nach der Rechtsprechung bereits zwei Personen zur Bildung einer Bande im Sinne von Art. 137 Ziff. 2 StGB genügen. Wesentlich für die Bejahung des Vorsatzes ist vielmehr, ob der Täter die Tatsachen kannte und wollte, aus denen das Gericht den rechtlichen Schluss auf bandenmässige Tatbegehung zieht. Dass dies auf B. und S. zutrifft, hat die Vorinstanz verbindlich festgestellt. Zu Recht behaupten die Beschwerdeführer nicht, das Obergericht sei bei seinem Entscheid von einem falschen Vorsatzbegriff ausgegangen. c) Soweit die Beschwerdeführer mit ihrer Rüge sinngemäss Rechtsirrtum geltend machen, ist sie unhaltbar. Art. 20 StGB besagt nicht, dass der Täter aufgrund jener Bestimmung zu bestrafen sei, die er mit seiner Tat zu verletzen glaubte. Auf Rechtsirrtum kann sich vielmehr nur berufen, wer aus zureichenden Gründen annahm, er sei zur Tat berechtigt gewesen. Dass die Beschwerdeführer angenommen hätten, in der Schweiz sei das Stehlen zu zweit erlaubt, behaupten sie zu 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