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14</w:t>
      </w:r>
    </w:p>
    <w:p>
      <w:r>
        <w:t>Bundesgericht (BGE), 1979-01-01, DE</w:t>
      </w:r>
    </w:p>
    <w:p>
      <w:r>
        <w:rPr>
          <w:b/>
        </w:rPr>
        <w:t xml:space="preserve">Quelle: </w:t>
      </w:r>
      <w:r>
        <w:t>https://mcp.opencaselaw.ch/entscheid/bge_BGE_105_IV_14</w:t>
      </w:r>
    </w:p>
    <w:p>
      <w:r>
        <w:t>FR: ATF 105 IV 14</w:t>
      </w:r>
    </w:p>
    <w:p>
      <w:r>
        <w:t>IT: DTF 105 IV 14</w:t>
      </w:r>
    </w:p>
    <w:p>
      <w:pPr>
        <w:pStyle w:val="Heading2"/>
      </w:pPr>
      <w:r>
        <w:t>Regeste</w:t>
      </w:r>
    </w:p>
    <w:p>
      <w:r>
        <w:t>Regeste Art. 49 Ziff. 3 StGB, Umwandlung einer Busse in Haft. 1. Rechtsnatur des Umwandlungsentscheids. 2. Vollstreckungsverjährung (Art. 74 StGB). Sie beginnt mit dem Tag, an dem das Bussenurteil, nicht der Umwandlungsentscheid, rechtlich vollstreckbar wird.</w:t>
      </w:r>
    </w:p>
    <w:p>
      <w:r>
        <w:t>Regeste Art. 49 ch. 3 CP. Conversion d'une amende en arrêts. 1. Nature juridique de la décision de conversion. 2. Prescription de la peine (Art. 74 CP). Elle court du jour où la condamnation à l'amende, et non de celui où la décision de conversion, est exécutoire.</w:t>
      </w:r>
    </w:p>
    <w:p>
      <w:r>
        <w:t>Regesto Art. 49 n. 3 CP. Commutazione di una multa in arresto. 1. Natura giuridica della decisione di commutazione. 2. Prescrizione della pena (art. 74 CP). Essa inizia il giorno in cui la decisione di condanna alla multa, e non la decisione di commutazione, diviene esecutiva.</w:t>
      </w:r>
    </w:p>
    <w:p>
      <w:pPr>
        <w:pStyle w:val="Heading2"/>
      </w:pPr>
      <w:r>
        <w:t>Erwägungen</w:t>
      </w:r>
    </w:p>
    <w:p>
      <w:r>
        <w:rPr>
          <w:b/>
        </w:rPr>
        <w:t>E. 1</w:t>
      </w:r>
    </w:p>
    <w:p>
      <w:r>
        <w:t>Die Vorinstanz geht zutreffend davon aus, dass bei Übertretungen, wie sie dem Beschwerdeführer vorgeworfen wurden, die absolute Vollstreckungsverjährung nach drei Jahren eintritt ( Art. 75 Ziff. 2 Abs. 2, 109 StGB ) und dass sie mit dem Tag beginnt, an dem das Urteil rechtlich vollstreckbar wird ( Art. 74 StGB ). Sie nimmt aber an, "Urteil" im Sinne dieser Bestimmung sei im vorliegenden Fall nicht der Entscheid vom 26. Februar 1975, mit welchem die Busse ausgefällt, sondern jener vom 16. November 1976, mit dem sie in Haft umgewandelt wurde. Das ergebe sich einerseits aus Art. 74 StGB selber, wonach beim bedingten Strafvollzug und im Falle des Strafaufschubs BGE 105 IV 14 S. 16 zugunsten einer Massnahme die Vollstreckungsverjährung auch nicht bereits mit dem Datum des Haupturteils beginne, sondern erst mit dem Tag, an dem der nachträgliche Vollzug der Strafe angeordnet werde. Anderseits folge aus BGE 74 IV 60 , dass die Umwandlung einer Busse in Haft keine blosse Vollzugsmassnahme, sondern ein selbständiger materieller Entscheid sei. Im vorliegenden Fall sei die Verjährung der am 16. November 1976 ausgesprochenen Strafe von acht Tagen Haft erstmals am 18. November 1976 und ein weiteres Mal am 11. Oktober 1978 unterbrochen worden. Die absolute Verjährung würde deshalb erst am 16. November 1979 eintreten. Demgegenüber macht der Beschwerdeführer geltend, die Vollstreckungsverjährung habe mit der rechtskräftigen Ausfällung der Busse begonnen und sei deshalb vor dem obergerichtlichen Entscheid endgültig abgelaufen.</w:t>
      </w:r>
    </w:p>
    <w:p>
      <w:r>
        <w:rPr>
          <w:b/>
        </w:rPr>
        <w:t>E. 2</w:t>
      </w:r>
    </w:p>
    <w:p>
      <w:r>
        <w:t>Wie schon in BGE 63 I 189 und BGE 64 I 64 erkannt wurde, ist der Umwandlungsentscheid eine Ergänzung des Bussenentscheides und bezweckt, diesen in anderer Form vollziehbar zu machen, damit er nicht überhaupt unvollzogen bleibt. Die Umwandlungsstrafe ist nur Ersatz für die eigentlich zu leistende Geldstrafe ( BGE 103 Ib 190 ). Deshalb muss der Vollzug der Umwandlungsstrafe entfallen, wenn ihm eine nachträgliche Zahlung der Busse zuvorkommt, denn mit der Geldleistung ist das Bussenurteil erfüllt und bedarf keines Ersatzes mehr ( BGE 69 IV 155 , BGE 64 I 65 ). Den behelfsmässigen Charakter der Umwandlungsstrafe und ihre Abhängigkeit vom Bussenentscheid zeigt auch der Umstand, dass der Richter ihre auf drei Monate begrenzte Dauer nach der Höhe der Busse zu bestimmen hat ( Art. 49 Ziff. 3 Abs. 3 StGB ) und keine neue Wertung gemäss dem für Freiheitsstrafen sonst geltenden Art. 63 StGB vornehmen kann. Da der auf Geldleistung gerichtete Strafanspruch des Staates aber mit der Ausfällung des Bussenurteils und dessen Nichtanfechtung rechtskräftig festgestellt wird und der Grund der Umwandlung nicht darin liegt, dass das Bussenurteil nicht rechtlich vollstreckbar wäre, sondern nur darin, dass es faktisch nicht durchsetzbar ist, weil sich der Verurteilte seiner Zahlungspflicht entzieht (s. SCHULTZ, Einführung in den Allg. Teil des Strafrechts, 2. Aufl. S. 208), steht der Beginn der Vollstreckungsverjährung fest. Diese setzt gemäss Art. 74 StGB mit dem Tag ein, an dem das Bussenurteil rechtlich vollstreckbar wird. Die in dieser Bestimmung für den Fall des bedingten Strafvollzuges BGE 105 IV 14 S. 17 und des Aufschubs der Strafe zugunsten einer Massnahme vorgesehene abweichende Ordnung kann nicht analog auf den Fall der Umwandlung einer Busse in Haft angewendet werden. Das Gesetz enthält hier eine ausdrücklich auf diese beiden Fälle beschränkte Ausnahme von der Regel (vgl. zum alten Art. 74 StGB : BGE 90 IV 6 ; zum rev. StGB: BBl I 583 unten). Zudem ist Analogie im Strafrecht nur zugunsten des Angeklagten bzw. Verurteilten zulässig, nicht zu seinem Nachteil ( BGE 103 IV 130 mit Verweisungen). Die Tatsache schliesslich, dass der Umwandlungsentscheid prozessual kein Vollzugs-, sondern ein materieller Entscheid ist, der als solcher mit Nichtigkeitsbeschwerde angefochten werden kann ( BGE 74 IV 60 ), ändert nichts daran, dass die Umwandlung eine blosse Ergänzung des Bussenentscheides darstellt, dessen rechtliche Vollstreckbarkeit allein massgebend ist für den Beginn der Verjährungsfrist.</w:t>
      </w:r>
    </w:p>
    <w:p>
      <w:r>
        <w:rPr>
          <w:b/>
        </w:rPr>
        <w:t>E. 3</w:t>
      </w:r>
    </w:p>
    <w:p>
      <w:r>
        <w:t>Begann aber die Vollstreckungsverjährung nicht erst mit dem Umwandlungsentscheid, sondern bereits mit der nach kantonalem Prozessrecht zu bestimmenden (Schultz, a.a.O.) rechtlichen Vollstreckbarkeit des Bussenurteils, so war die Busse schon im Zeitpunkt des obergerichtlichen Entscheides vom 24. November 1978 absolut verjährt, und zwar selbst dann, wenn man neben der Appellationsfrist von 10 Tagen (Art. 298 Abs. 3 bern. StrV), die am 26. Februar 1975 mit der mündlichen Eröffnung des Urteils begann, noch die in Art. 361 bern. StrV für die Mitteilung des Strafurteils an die Vollstreckungsbehörden vorgeschriebene Höchstfrist von fünf Tagen einbezieht.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