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120</w:t>
      </w:r>
    </w:p>
    <w:p>
      <w:r>
        <w:t>Bundesgericht (BGE), 1979-01-01, DE</w:t>
      </w:r>
    </w:p>
    <w:p>
      <w:r>
        <w:rPr>
          <w:b/>
        </w:rPr>
        <w:t xml:space="preserve">Quelle: </w:t>
      </w:r>
      <w:r>
        <w:t>https://mcp.opencaselaw.ch/entscheid/bge_BGE_105_IV_120</w:t>
      </w:r>
    </w:p>
    <w:p>
      <w:r>
        <w:t>FR: ATF 105 IV 120</w:t>
      </w:r>
    </w:p>
    <w:p>
      <w:r>
        <w:t>IT: DTF 105 IV 120</w:t>
      </w:r>
    </w:p>
    <w:p>
      <w:pPr>
        <w:pStyle w:val="Heading2"/>
      </w:pPr>
      <w:r>
        <w:t>Regeste</w:t>
      </w:r>
    </w:p>
    <w:p>
      <w:r>
        <w:t>Regeste Art. 181 StGB. Nötigung. 1. In der Drohung, einen in Aussicht gestellten Vertrag nicht abzuschliessen, dessen Scheitern grosse finanzielle Verluste zur Folge hat, liegt die Androhung eines ernstlichen Nachteils (E. 2a). 2. Ob die Androhung einer Unterlassung erlaubt ist, beurteilt sich nach den allgemeinen Grundsätzen über die Rechtswidrigkeit einer Nötigung (E. 2b). 3. Versuchte Nötigung (E. 2c).</w:t>
      </w:r>
    </w:p>
    <w:p>
      <w:r>
        <w:t>Regeste Art. 181 CP. Contrainte. 1. La menace de ne pas conclure un contrat dont la signature est prévue et dont l'échec entraînerait une grosse perte financière représente une menace de dommage sérieux (consid. 2 litt. a). 2. Le point de savoir si la menace d'une abstention est licite se détermine au regard des principes généraux relatifs à l'illicéité de la contrainte (consid. 2 litt. b). 3. Tentative de contrainte (consid. 2 litt. c).</w:t>
      </w:r>
    </w:p>
    <w:p>
      <w:r>
        <w:t>Regesto Art. 181 CP. Coazione. 1. La minaccia di non stipulare un contratto la cui firma sia prevista e la cui mancata conclusione comporterebbe una notevole perdita finanziaria costituisce una minaccia di grave danno (consid. 2a). 2. La questione se la minaccia di un'omissione sia lecita va risolta alla stregua dei principi generali relativi all'illiceità della coazione (consid. 2b). 3. Tentativo di coazione (consid. 2c).</w:t>
      </w:r>
    </w:p>
    <w:p>
      <w:pPr>
        <w:pStyle w:val="Heading2"/>
      </w:pPr>
      <w:r>
        <w:t>Erwägungen</w:t>
      </w:r>
    </w:p>
    <w:p>
      <w:r>
        <w:rPr>
          <w:b/>
        </w:rPr>
        <w:t>E. 2</w:t>
      </w:r>
    </w:p>
    <w:p>
      <w:r>
        <w:t>Der Nötigung im Sinne des Art. 181 StGB macht sich u.a. schuldig, wer jemanden durch Androhung ernstlicher Nachteile nötigt, etwas zu tun, zu unterlassen oder zu dulden. a) Der Nachteil muss "ernstlicher" Natur sein. Dazu genügt, dass die Androhung geeignet ist, auch eine besonnene Person in der Lage des Betroffenen gefügig zu machen ( BGE 81 IV 105 f., BGE 96 IV 62 , BGE 101 IV 48 ; SCHWANDER, Nr. 629a, STRATENWERTH, BT I, 2. Aufl., S. 92). Der Architekt hatte bereits mit der Produktion der Fertigelemente für die Überbauung des Grundstückes begonnen und entsprechende Mengen von Armierungseisen eingekauft. Ferner hatte er zur Finanzierung der eigenen zwei Wohnblöcke seine Honoraransprüche gegenüber der SBB der Bank abtreten müssen. Ein Scheitern des Vertrages hätte, wie die Vorinstanz verbindlich feststellt, für ihn grosse finanzielle Verluste zur Folge gehabt. Diese waren erheblich genug, um einen verständigen Mann in der betreffenden Lage gefügig zu machen und zu veranlassen, die verlangte Provision zu bezahlen. b) Zwar drohte der Beschwerdeführer nicht, er werde durch aktives Tun einen Nachteil herbeiführen. Vielmehr stellte er in Aussicht, er werde den Vertrag für die SBB nicht abschliessen und dadurch den Architekten in der bedrängten Lage belassen, ihm also die Vorteile des geplanten Vertrages vorenthalten. Auch dies wirkte sich als finanzieller Nachteil aus, ähnlich einem entgangenen Gewinn. Im übrigen hatte der Beschwerdeführer selber den Architekten zur Eingehung bedeutender Verpflichtungen ermuntert und insoweit auch durch aktives Tun zur Schaffung der Notlage, die er ausbeuten wollte, beigetragen. Wie jedoch der Kassationshof bereits entschieden hat, ist es unerheblich, ob der Nachteil durch ein Tun oder eine Unterlassung herbeigeführt werden soll ( BGE 96 IV 61 E. 2). Art. 181 StGB verlangt einzig die Androhung eines Nachteils, ohne festzulegen, auf welche Weise er herbeigeführt werden soll. Nach dem Gesetz ist nicht einmal nötig, dass der Täter willens ist, im Falle der Weigerung des Opfers die Drohung zu verwirklichen. Durch die Androhung einer Unterlassung kann denn auch je nach den Umständen ein ebenso wirksamer Druck wie durch ein Tun ausgeübt werden, so wenn ein Täter z.B. damit droht, er werde die Leistung von Unterhaltsbeiträgen oder einer anderen Hilfe, auf die das Opfer dringend angewiesen BGE 105 IV 120 S. 123 ist, verweigern. Ob mit einer Unterlassung gedroht werden darf, beantwortet sich daher nicht nach den Regeln über unechte Unterlassungsdelikte (SCHÖNKE/SCHRÖDER, Kommentar, 18. Aufl., § 240 N. 22), sondern nach den Grundsätzen, die für die Beurteilung der Rechtswidrigkeit einer Nötigung massgebend sind. Unrechtmässig ist eine Nötigung, wenn das Mittel oder der Zweck der Drohung unerlaubt ist oder wenn das Mittel zum erstrebten Zweck nicht im richtigen Verhältnis steht oder wenn die Verknüpfung zwischen einem an sich zulässigen Mittel und einem erlaubten Zweck rechtsmissbräuchlich oder sittenwidrig ist ( BGE 87 IV 14 , BGE 96 IV 62 , BGE 101 IV 49 , 172; SCHWANDER, Nr. 629a, STRATENWERTH, BT I, 2. Aufl., S. 94). Das trifft hier zu. Dem Beschwerdeführer war es verboten, Geschenke oder Provisionen für sich anzunehmen. Schon der Zweck war unerlaubt. Desgleichen durfte er den Vertragsabschluss nicht als Druckmittel einsetzen, um für sich einen Vorteil zu erlangen, weil er mit dem Vertragsschluss nicht eigene Interessen zu wahren hatte. Er hat somit sachfremde Mittel zur Erreichung eines unerlaubten Zwecks angewendet und seine Amtsgewalt missbraucht. Er handelte rechtswidrig. c) Der Beschwerdeführer wollte den Architekten zwingen, ihm eine Provision auszuhändigen. Deshalb hatte er ihm auch genaue Anweisungen erteilt, wie der Geldbetrag übergeben werden sollte. Dieses Ziel hat er nicht erreicht. Es blieb daher beim Versuch. Nicht anders wäre zu entscheiden, wenn schon das mündliche Versprechen, die Provision zu bezahlen, als Deliktserfolg angesehen werden müsste. Auch die Nötigung zu einem rechtswidrigen Zahlungsversprechen erfüllt den Tatbestand. Doch konnte nur ein ernstgemeintes Versprechen, nicht ein solches unter Mentalreservation den Beschwerdeführer zum endgültigen Vertragsabschluss bewegen. Der Architekt hatte sich aber nur zum Schein auf die Provisionsforderung eingelassen und aus diesem Grund bereits am folgenden Tag Anzeige erstattet. Es gelang dem Beschwerdeführer also auch insoweit nicht, den Willen des Opfers zu beugen. Belanglos ist, dass er später davon absah, auf der Bezahlung der Provision zu bestehen. Denn nicht freiwillig, sondern wegen der eingeleiteten administrativen Untersuchung hat er seinen verbrecherischen Willen aufgegeben. Die Beschwerde ist somit in dem Sinne gutzuheissen, dass die BGE 105 IV 120 S. 124 Vorinstanz den Beschwerdeführer der versuchten statt der vollendeten Nötigung zu verurteilen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