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90</w:t>
      </w:r>
    </w:p>
    <w:p>
      <w:r>
        <w:t>Bundesgericht (BGE), 1979-01-01, FR</w:t>
      </w:r>
    </w:p>
    <w:p>
      <w:r>
        <w:rPr>
          <w:b/>
        </w:rPr>
        <w:t xml:space="preserve">Quelle: </w:t>
      </w:r>
      <w:r>
        <w:t>https://mcp.opencaselaw.ch/entscheid/bge_BGE_105_II_90</w:t>
      </w:r>
    </w:p>
    <w:p>
      <w:r>
        <w:t>FR: ATF 105 II 90</w:t>
      </w:r>
    </w:p>
    <w:p>
      <w:r>
        <w:t>IT: DTF 105 II 90</w:t>
      </w:r>
    </w:p>
    <w:p>
      <w:pPr>
        <w:pStyle w:val="Heading2"/>
      </w:pPr>
      <w:r>
        <w:t>Regeste</w:t>
      </w:r>
    </w:p>
    <w:p>
      <w:r>
        <w:t>Regeste Mängel der Kaufsache. Art. 207 Abs. 3 OR ist auch anwendbar, wenn der Käufer die Kaufsache trotz den von ihm erkannten Mängeln der Sache ohne stichhaltigen Grund gebraucht.</w:t>
      </w:r>
    </w:p>
    <w:p>
      <w:r>
        <w:t>Regeste Défauts de la chose vendue. L'art. 207 al. 3 CO s'applique aussi lorsque l'acheteur persiste à user de la chose en dépit des défauts qu'il a découverts et sans que cet usage soit justifié par un motif valable.</w:t>
      </w:r>
    </w:p>
    <w:p>
      <w:r>
        <w:t>Regesto Difetti della cosa compravenduta. L'art. 207 cpv. 3 CO si applica anche laddove il compratore usi la cosa malgrado i difetti da lui scoperti e tale uso non sia giustificato da un valido motivo.</w:t>
      </w:r>
    </w:p>
    <w:p>
      <w:pPr>
        <w:pStyle w:val="Heading2"/>
      </w:pPr>
      <w:r>
        <w:t>Erwägungen</w:t>
      </w:r>
    </w:p>
    <w:p>
      <w:r>
        <w:rPr>
          <w:b/>
        </w:rPr>
        <w:t>E. 1</w:t>
      </w:r>
    </w:p>
    <w:p>
      <w:r>
        <w:t>Le Tribunal cantonal considère qu'en n'avisant le défendeur que le 30 décembre 1975, la demanderesse n'a pas prouvé avoir agi en temps utile selon l'art. 201 CO et que la voiture doit partant être tenue pour acceptée. Il estime d'autre part que même si l'on admettait que l'avis des défauts a été donné à temps, l'action devrait être rejetée. La demanderesse a en effet persisté à utiliser la voiture dans son intérêt, soit indépendamment des déplacements nécessités par les expertises, sur une distance d'environ 3000 km., après avoir manifesté son intention de résilier le contrat. Pour avoir continué à déprécier la chose vendue, sans motif valable, elle est déchue du droit d'exercer l'action rédhibitoire et ne pourrait demander que la réduction du prix pour la moins-value (art. 207 al. 3 CO). Les griefs élevés par la demanderesse contre cette dernière argumentation ne sont pas fondés. Sans doute l'art. 207 al. 3 CO ne mentionne-t-il que les cas où la chose a péri par la faute de l'acheteur, ou que celui-ci l'a aliénée ou transformée. Mais si l'acheteur persiste à user de la chose en dépit des défauts qu'il a découverts et sans que cet usage soit justifié par un motif valable (par exemple le souci d'éviter une détérioration de la chose), son comportement doit être assimilé à celui de l'acheteur qui aliène ou transforme l'objet reconnu défectueux; ce BGE 105 II 90 S. 92 comportement équivaut à une renonciation par acte concluant à l'exercice de l'action rédhibitoire (GIGER, n. 42 ad art. 207 CO; GAUTSCHI, n. 14 a ad art. 368 CO). En l'espèce, c'est donc avec raison que la Cour cantonale a considéré que la demanderesse ne pouvait demander que la réduction du prix pour la moins-value, à supposer l'avis des défauts donné en temps utile, ce qui peut rester indécis.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