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166</w:t>
      </w:r>
    </w:p>
    <w:p>
      <w:r>
        <w:t>Bundesgericht (BGE), 1979-01-01, DE</w:t>
      </w:r>
    </w:p>
    <w:p>
      <w:r>
        <w:rPr>
          <w:b/>
        </w:rPr>
        <w:t xml:space="preserve">Quelle: </w:t>
      </w:r>
      <w:r>
        <w:t>https://mcp.opencaselaw.ch/entscheid/bge_BGE_105_II_166</w:t>
      </w:r>
    </w:p>
    <w:p>
      <w:r>
        <w:t>FR: ATF 105 II 166</w:t>
      </w:r>
    </w:p>
    <w:p>
      <w:r>
        <w:t>IT: DTF 105 II 166</w:t>
      </w:r>
    </w:p>
    <w:p>
      <w:pPr>
        <w:pStyle w:val="Heading2"/>
      </w:pPr>
      <w:r>
        <w:t>Regeste</w:t>
      </w:r>
    </w:p>
    <w:p>
      <w:r>
        <w:t>Regeste Abänderung des Scheidungsurteils; nachträgliche Indexierung einer Scheidungsrente. 1. Der Abänderungsklage im Sinne von Art. 153 ZGB unterliegen auch Scheidungsrenten, die auf einer gerichtlich genehmigten Scheidungskonvention beruhen (E. 1). 2. Die nachträgliche Indexierung einer Rente im Sinne von Art. 151 Abs. 1 und 152 ZGB im Abänderungsverfahren ist zulässig, soweit die Rente Ersatz für den ehelichen Unterhaltsanspruch darstellt (E. 3).</w:t>
      </w:r>
    </w:p>
    <w:p>
      <w:r>
        <w:t>Regeste Modification du jugement de divorce; indexation ultérieure d'une rente. 1. Relèvent également de l'action en modification au sens de l'art. 153 CC les rentes dues en vertu d'une convention sur effets accessoires ratifiée par le juge (consid. 1). 2. L'indexation ultérieure d'une rente au sens des art. 151 al. 1 et 152 CC est possible dans la procédure de modification, pour autant que la rente représente la compensation de la perte du droit à l'entretien (consid. 3).</w:t>
      </w:r>
    </w:p>
    <w:p>
      <w:r>
        <w:t>Regesto Modifica della sentenza di divorzio; indicizzazione successiva di una rendita. 1. Possono essere modificate conformemente all'art. 153 CC pure le rendite dovute in virtù di una convenzione sugli effetti accessori del divorzio approvata dal giudice (consid. 1). 2. L'indicizzazione successiva di una rendita ai sensi degli art. 151 cpv. 1 e 152 CC è possibile nell'ambito della procedura di modifica, nella misura in cui la rendita rappresenta la compensazione della perdita del diritto al mantenimento (consid. 3).</w:t>
      </w:r>
    </w:p>
    <w:p>
      <w:pPr>
        <w:pStyle w:val="Heading2"/>
      </w:pPr>
      <w:r>
        <w:t>Erwägungen</w:t>
      </w:r>
    </w:p>
    <w:p>
      <w:r>
        <w:rPr>
          <w:b/>
        </w:rPr>
        <w:t>E. 1</w:t>
      </w:r>
    </w:p>
    <w:p>
      <w:r>
        <w:t>Der Beklagte macht zunächst geltend, die Vorinstanz habe die Rechtsnatur der Scheidungsvereinbarung missachtet, das eingeleitete Verfahren in prozessual unzulässiger Weise durchgeführt und dadurch Bundesrecht verletzt. Zur Begründung führt er im wesentlichen aus, die von ihm geschuldete Rente beruhe nicht auf einem Urteil, sondern auf einer Konvention. Diese beziehe sich bezüglich der heutigen Streitsache auf den disponiblen Teil der scheidungsrechtlichen Auseinandersetzung und habe demnach das richterliche Urteil ersetzt. Gegenstand des Scheidungsurteils sei nicht die in der Vereinbarung getroffene Regelung der Ansprüche im Sinne von Art. 151 ZGB , sondern die richterliche Genehmigung der Konvention gewesen. Diese habe durch die richterliche Mitwirkung ihren rechtsgeschäftlichen, d.h. vertraglichen Charakter nicht verloren. Wenn sie angefochten werden wollte, hätte zuerst beim Wohnsitzrichter die Ungültigkeit der Konvention hinsichtlich des disponiblen Teils eingeklagt und daraufhin, nach Gutheissung dieser Klage, beim Scheidungsrichter in einem Nachverfahren die Neuregelung der Nebenfolgen in die Wege geleitet werden müssen. Mit dieser Betrachtungsweise verkennt der Beklagte indessen den rechtlichen Charakter einer gerichtlich genehmigten Vereinbarung über die Nebenfolgen der Scheidung. Durch die richterliche Genehmigung, die nach Art. 158 Ziff. 5 ZGB Voraussetzung der Rechtsgültigkeit ist, wird die vereinbarte Regelung zum vollwertigen Bestandteil des Urteils, und zwar BGE 105 II 166 S. 169 unabhängig davon, ob sie den disponiblen oder den nichtdisponiblen Teil der scheidungsrechtlichen Auseinandersetzung betreffe. Sie verliert somit ihren privatrechtlichen Charakter und nimmt als Bestandteil des Urteils an dessen Rechtskraft teil. Es besteht rechtlich kein Unterschied zwischen einer vom Richter getroffenen Entscheidung über streitige Nebenfolgen der Scheidung und einer von den Parteien hierüber abgeschlossenen Vereinbarung, die richterlich genehmigt worden ist ( BGE 95 II 387 E. 2, BGE 60 II 82 und 170; HINDERLING, Das schweizerische Ehescheidungsrecht, 3. Aufl., S. 187). Abgesehen davon geht es im vorliegenden Fall gerade nicht darum, die abgeschlossene Vereinbarung mit Wirkung ex tunc anzufechten oder ungültig zu erklären, sondern vielmehr um die Fragen, welche Leistungen der Beklagte gemäss der Scheidungskonvention bis zu seinem 65. Altersjahr zu erbringen habe und ob die Rente nachträglich (ex nunc) den veränderten Verhältnissen angepasst und indexiert werden dürfe. Eine Rente im Sinne von Art. 151 oder 152 ZGB kann nun aber, und zwar unabhängig davon, ob sie gerichtlich festgesetzt worden sei oder auf einer gerichtlich genehmigten Vereinbarung beruhe, nachträglich im Verfahren gemäss Art. 153 ZGB herabgesetzt werden ( BGE 104 II 239 und 243 E. 5, BGE 96 II 302 E. 3; HINDERLING, a.a.O.; vgl. auch BGE 95 II 387 betreffend Art. 157 ZGB ). Einer Ungültigkeitsklage bedarf es hiefür nicht. Soweit es sodann um die Auslegung der Konvention geht, ist zum vornherein nicht ersichtlich, weshalb vorerst auf Ungültigkeit geklagt werden müsste.</w:t>
      </w:r>
    </w:p>
    <w:p>
      <w:r>
        <w:rPr>
          <w:b/>
        </w:rPr>
        <w:t>E. 2</w:t>
      </w:r>
    </w:p>
    <w:p>
      <w:r>
        <w:t>Beide Vorinstanzen nahmen im Rahmen ihrer Beweiswürdigung an, die Parteien seien beim Abschluss der Scheidungsvereinbarung davon ausgegangen, dass der Beklagte erst mit 65 Jahren pensioniert und die der Klägerin zugesprochene Rente deshalb erst in diesem Zeitpunkt herabgesetzt werde. Sie verpflichteten deshalb den Beklagten, der Klägerin vom Zeitpunkt der Klageeinleitung bis zum 1. August 1978 (Erreichen des 65. Altersjahrs) grundsätzlich die nicht herabgesetzte Rente zu zahlen. Von welchen Vorstellungen die Parteien beim Abschluss der Vereinbarung ausgegangen sind, ist eine Tatfrage. Feststellungen über solche Fragen können mit der Berufung nicht angefochten werden. Muss aber angenommen werden, die Parteien hätten ein Pensionierungsalter von 65 Jahren im Auge gehabt, so ist der Schluss der Vorinstanz, der Beklagte habe bis zum Erreichen BGE 105 II 166 S. 170 seines 65. Altersjahrs grundsätzlich die nicht herabgesetzte Rente zu zahlen, offensichtlich nicht zu beanstanden. Welche Regelung gegolten hätte, wenn der Beklagte wegen Krankheit oder Unfall vorzeitig hätte pensioniert werden müssen, kann dahingestellt bleiben, da dieser Fall nicht eingetreten ist. Dem Beklagten kann geglaubt werden, dass er mit seiner Pensionierung eine Einkommenseinbusse erlitt. Wenn er jedoch freiwillig früher in Pension ging, als bei Abschluss der Scheidungsvereinbarung in Aussicht genommen worden war, hat er die finanziellen Folgen selbst zu tragen und kann sie nicht auf die Klägerin überwälzen. Nach seinen eigenen Ausführungen in der Berufungsschrift bezog er nach der Pensionierung jährlich ca. Fr. 33'000.-. Durch die Vorinstanz wurde er verpflichtet, der Klägerin vom 22.1.1975 bis 1.8.1978 monatlich Fr. 932.50, also jährlich Fr. 11'190.- zu zahlen. Dieser Betrag erreicht die in der Scheidungsvereinbarung als oberste Grenze angesehene Hälfte des Ruhegehalts bei weitem nicht. Es kann deshalb nicht gesagt werden, die von der Vorinstanz getroffene Regelung sei angesichts der finanziellen Verhältnisse des Beklagten unbillig.</w:t>
      </w:r>
    </w:p>
    <w:p>
      <w:r>
        <w:rPr>
          <w:b/>
        </w:rPr>
        <w:t>E. 3</w:t>
      </w:r>
    </w:p>
    <w:p>
      <w:r>
        <w:t>a) Die Vorinstanz indexierte die vom Beklagten zu zahlenden Renten vom Zeitpunkt der Klageeinleitung an. Der Beklagte vertritt demgegenüber die Meinung, die Vorinstanz habe BGE 100 II 245 ff. falsch ausgelegt und Bundesrecht verletzt, weil eine nachträgliche Indexierung eine Erhöhung der Rente darstelle und demzufolge Art. 153 ZGB widerspreche. b) Nach der früheren bundesgerichtlichen Rechtsprechung durfte eine der geschiedenen Ehefrau zugesprochene Rente auch im Rahmen der Neubeurteilung ihrer Kaufkraft nachträglich nicht erhöht werden ( BGE 51 II 15 ff.) und war es nicht zulässig, derartige Renten im Scheidungsurteil zu indexieren. In BGE 100 II 245 ff. änderte das Bundesgericht jedoch seine frühere Rechtsprechung. Es führte unter anderm aus, soweit eine Rente im Sinne von Art. 151 ZGB der geschiedenen Ehefrau Ersatz für den verlorenen Unterhaltsanspruch gegen den Mann gewähre, komme ihr Sachleistungscharakter zu. Die Sachleistung, d.h. der teilweise Ersatz für den entgangenen Unterhalt, werde jedoch durch eine starke Geldentwertung innerlich ausgehöhlt. Das könne durch eine Indexierung vermieden werden. Eine solche bewirke materiell lediglich, dass die Rente wertbeständig gestaltet und damit in ihrer Substanz erhalten BGE 105 II 166 S. 171 werde. So betrachtet liege in der Indexierung kein Verstoss gegen Art. 153 Abs. 2 ZGB (S. 252/253). An dieser ausführlich begründeten und auch die Lehrmeinung berücksichtigenden Rechtsprechung ist festzuhalten. Was das Bundesgericht im genannten Entscheid mit Bezug auf die ursprüngliche, im Scheidungsurteil selbst angeordnete Indexierung ausführte, muss sinngemäss auch für die nachträglich angeordnete Indexierung gelten. In beiden Fällen bewirkt die Indexierung nur nominal eine Veränderung der Rente, während sie materiell lediglich dazu dient, die Rente wertmässig, im Vergleich zur Kaufkraft, auf derselben Höhe zu halten. Die von der Vorinstanz angeordnete Indexierung stellt demnach weder einen Verstoss gegen Art. 153 Abs. 2 ZGB dar noch steht sie in Widerspruch zu den Erwägungen, die das Bundesgericht im genannten Urteil angestellt hatte. c) Nach der Rechtsprechung ist die Indexierung einer Rente gegen den Willen des Verpflichteten nur zulässig, wenn die bestimmte Aussicht besteht, dass auch das Einkommen des Pflichtigen laufend der Teuerung angeglichen wird ( BGE 100 II 253 ). Nach den verbindlichen Feststellungen der Vorinstanz ist diese Voraussetzung im vorliegenden Fall erfüllt, was vom Beklagten nicht bestritten wird. Die von der Vorinstanz angeordnete Indexierung der Rente hält demnach vor dem Bundesrecht stand. Sie entspricht im übrigen auch einem Gebot der Billigkeit. Nach den Ausführungen des erstinstanzlichen Entscheids, auf den die Vorinstanz verwies, hat sich der Lebenskostenindex von der Ausfällung des Scheidungsurteils im Jahre 1958 (182,6 Punkte) bis zur Klageeinleitung (362,3 Punkte) praktisch verdoppelt und ist der Lohn- bzw. Pensionsanspruch des Beklagten jährlich mindestens im Ausmass der Teuerung erhöht worden. Das bedeutet mit anderen Worten, dass die Kaufkraft der der Klägerin 1958 zugesprochenen Rente in der Zwischenzeit wertmässig auf ungefähr die Hälfte sank, während das Einkommen des Klägers sich beinahe verdoppelte. Bei dieser Sachlage grenzt der Widerstand des Beklagten gegen die Indexierung an Rechtsmissbrauch. d) Gegen die Berechnung der indexierten Renten erhebt der Beklagte keine Einwendungen. Die Berufung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