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II 130</w:t>
      </w:r>
    </w:p>
    <w:p>
      <w:r>
        <w:t>Bundesgericht (BGE), 1979-01-01, IT</w:t>
      </w:r>
    </w:p>
    <w:p>
      <w:r>
        <w:rPr>
          <w:b/>
        </w:rPr>
        <w:t xml:space="preserve">Quelle: </w:t>
      </w:r>
      <w:r>
        <w:t>https://mcp.opencaselaw.ch/entscheid/bge_BGE_105_II_130</w:t>
      </w:r>
    </w:p>
    <w:p>
      <w:r>
        <w:t>FR: ATF 105 II 130</w:t>
      </w:r>
    </w:p>
    <w:p>
      <w:r>
        <w:t>IT: DTF 105 II 130</w:t>
      </w:r>
    </w:p>
    <w:p>
      <w:pPr>
        <w:pStyle w:val="Heading2"/>
      </w:pPr>
      <w:r>
        <w:t>Regeste</w:t>
      </w:r>
    </w:p>
    <w:p>
      <w:r>
        <w:t>Regeste Handelsregister; Prüfung von Amtes wegen, ob die Voraussetzungen für eine Eintragung gegeben sind. Art. 940 Abs. 1 OR, Art. 21 Abs. 1 HRegV. Wenn die Generalversammlung einer Aktiengesellschaft abwesende Personen als Mitglieder des Verwaltungsrates wählt, kann ihre Eintragung im Handelsregister nur erfolgen, wenn diese Personen - ausdrücklich oder stillschweigend - ihrer Wahl zugestimmt haben. Der Registerführer ist gehalten, sich dieser Zustimmung zu vergewissern.</w:t>
      </w:r>
    </w:p>
    <w:p>
      <w:r>
        <w:t>Regeste Registre du commerce; vérification par le préposé de l'existence des conditions d'une inscription. Art. 940 al. 1 CO, art. 21 al. 1 ORC. Si l'assemblée générale d'une société anonyme a nommé comme membres du conseil d'administration des personnes absentes, celles-ci ne peuvent être inscrites au registre du commerce que quand elles ont accepté leur nomination, expressément ou tacitement. Le préposé au registre du commerce est tenu de vérifier l'existence de cette acceptation.</w:t>
      </w:r>
    </w:p>
    <w:p>
      <w:r>
        <w:t>Regesto Registro di commercio; accertamento da parte dell'ufficio dell'esistenza. dei presupposti di un'iscrizione. Art. 940 cpv. 1 CO, art. 21 cpv. 1 ORC. Ove l'assemblea generale di una società anonima abbia nominato quali membri del consiglio d'amministrazione persone assenti, la loro iscrizione nel registro di commercio può avvenire soltanto quando risulti la loro accettazione, che può essere espressa o tacita. L'ufficiale del registro di commercio è tenuto ad accertare l'esistenza di tale accettazione.</w:t>
      </w:r>
    </w:p>
    <w:p>
      <w:pPr>
        <w:pStyle w:val="Heading2"/>
      </w:pPr>
      <w:r>
        <w:t>Erwägungen</w:t>
      </w:r>
    </w:p>
    <w:p>
      <w:r>
        <w:rPr>
          <w:b/>
        </w:rPr>
        <w:t>E. 1</w:t>
      </w:r>
    </w:p>
    <w:p>
      <w:r>
        <w:t>... L'ufficiale del registro di commercio deve, ai sensi dell'art. 940 cpv. 1 e dell' art. 21 cpv. 1 ORC , prima di effettuare un'iscrizione, verificare se siano adempiuti i requisiti legali. Una società anonima può essere iscritta soltanto laddove alla notificazione per l'iscrizione sia unita, tra l'altro, la prova dell'avvenuta nomina dell'amministrazione. Nel caso di consiglieri d'amministrazione assenti, occorre che sia prodotta una loro dichiarazione di accettazione. Quest'ultima può avvenire anche tacitamente, per esempio mediante la firma della notificazione secondo l' art. 22 cpv. 2 ORC (SIEGWART n. 13 ad art. 640 CO ; F. VON STEIGER, Das Recht der Aktiengesellschaft in der Schweiz, 4 E. pag. 122; F. VON STEIGER, Prüfung und Eintragung der Aktiengesellschaft beim Handelsregister, pag. 40; BÜRGI, n. 2 ad art. 708 CO ; SCHUCANY, n. 1 ad art. 708 CO ; FORSTMOSER/MEIER-HAYOZ, Einführung in das schweizerische Aktienrecht, § 7 n. 21; JACQUEROD/VON STEIGER, Eintragsmuster für das Handelsregister, pagg. 172-173, n. 13; BECK, Die Kognition des Handelsregisterführers im Rechte der Aktiengesellschaft, pag. 60 n. 5 e pag. 62 n. 7; Schweizerische Aktiengesellschaft, vol. 34, (1961/1962) pag. 179; SIEGMUND, Handbuch für die schweizerischen Handelsregisterführer, pag. 288). L'elezione regolare dell'amministrazione, in cui rientra anche l'accettazione del mandato da parte degli amministratori eletti, costituisce una delle condizioni per l'iscrizione e dev'essere accertata d'ufficio dall'ufficiale del registro di commercio (HIS, n. 49 e 63/64 ad art. 932 CO e n. 25 ad art. 940 CO ; SCHNEIDER, Der Rechtsschutz in Handelsregistersachen und die Entscheidungskompetenz der Handelsregisterbehörden, pagg. 241, 243 e 247). Tale accertamento va effettuato non soltanto in occasione dell'iscrizione di una società anonima, bensì anche in caso d'iscrizione di nuovi membri del consiglio d'amministrazione.</w:t>
      </w:r>
    </w:p>
    <w:p>
      <w:r>
        <w:rPr>
          <w:b/>
        </w:rPr>
        <w:t>E. 2</w:t>
      </w:r>
    </w:p>
    <w:p>
      <w:r>
        <w:t>Nella fattispecie non risulta in alcun modo che la ricorrente abbia accettato la carica di amministratrice. Nel verbale dell'assemblea generale del 12 ottobre 1978 è detto solo che la ricorrente era assente e non è fatta alcuna allusione ad un'eventuale approvazione da parte sua della nomina effettuata dall'assemblea. E neppure nella lettera dell'8 novembre 1978, indirizzata all'assemblea generale dell'Azeta S.A., la ricorrente fa BGE 105 II 130 S. 133 menzione di un'accettazione della carica. Al contrario, essa rifiuta espressamente in tale lettera d'accettare detta carica. Il fatto che essa vi dichiari d'essere costretta a "rinunciare" ad assumere la carica di amministratrice unica non può in alcun modo essere interpretato nel senso di un riferimento ad una precedente accettazione. L'istanza inferiore non afferma d'altronde neppure quando ed in qual modo una precedente dichiarazione avrebbe avuto luogo. La società Azeta S.A. non ha, dal canto suo, mai fornito all'ufficio alcun dato positivo che potesse indurlo a credere che la ricorrente avesse accettato la carica. Dalla lettera del 10 gennaio 1978, scritta dalla ricorrente all'ufficio, può al massimo dedursi una certa disponibilità della ricorrente ad accettare il mandato di amministratrice, qualora fossero realizzate determinate condizioni. L'ufficio avrebbe peraltro dovuto rifiutare una siffatta dichiarazione d'accettazione condizionata (HIS, n. 9 ad art. 940 CO ).</w:t>
      </w:r>
    </w:p>
    <w:p>
      <w:r>
        <w:rPr>
          <w:b/>
        </w:rPr>
        <w:t>E. 3</w:t>
      </w:r>
    </w:p>
    <w:p>
      <w:r>
        <w:t>Il Dipartimento cantonale di giustizia ha ritenuto che l'ufficio avesse il dovere di diffidare, ai sensi dell' art. 60 ORC , l'amministratrice a chiedere l'iscrizione della sua nomina e che essa fosse tenuta a dimostrare di non aver accettato il mandato. Come rettamente esposto dal Dipartimento federale di giustizia e polizia nelle proprie osservazioni, questo modo di procedere è contrario alle disposizioni dell'ordinanza sul registro di commercio. Secondo tale disciplina, le iscrizioni vanno effettuate solo su notificazione, con riserva di casi particolari previsti dalla legge e in cui si procede d'ufficio ( DTF 104 Ib 322 consid. 2a). Ove si tratti di modifiche di una situazione esistente, tale riserva entra in considerazione soltanto laddove l'ufficio sia certo che i fatti iscritti nel registro di commercio abbiano subito modifiche valide legalmente. La procedura seguita nella fattispecie dall'ufficio comportava inoltre un'inversione dell'onere della prova. Essendo stata la diffida dell'ufficio del 13 ottobre 1978 rivolta alla società e non alla ricorrente, quest'ultima non aveva alcun obbligo di sollevare obiezioni al riguardo. Poiché l'accettazione della carica era il presupposto di validità della nomina effettuata dall'assemblea generale, l'ufficio avrebbe dovuto accertare se tale accettazione fosse intervenuta e, qualora avesse constatato che l'accettazione mancava, avrebbe dovuto tralasciare qualsiasi iscrizione concernente detta nomina. Indeciso può rimanere se nelle circostanze concrete l'ufficio avrebbe dovuto invitare la società a provvedere ad una nuova nomina BGE 105 II 130 S. 134 della propria amministrazione, oppure se, accertata l'impossibilità per la società di designare una nuova amministrazione, avrebbe eventualmente dovuto diffidare la società, in applicazione analogica dell' art. 711 cpv. 4 CO , a chiedere l'iscrizione del proprio scioglimento e, in difetto, procedere a quest'ultimo.</w:t>
      </w:r>
    </w:p>
    <w:p>
      <w:r>
        <w:rPr>
          <w:b/>
        </w:rPr>
        <w:t>E. 4</w:t>
      </w:r>
    </w:p>
    <w:p>
      <w:r>
        <w:t>Risultando chiaramente che la ricorrente non aveva espressamente né tacitamente accettato la sua nomina ad amministratrice unica della società Azeta S.A., e che non era pertanto consentito all'ufficio di assegnarle un termine ai sensi dell' art. 32 ORC , il ricorso va accolto come manifestamente fondato.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