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22 vom 27. Oktober 1976</w:t>
      </w:r>
    </w:p>
    <w:p>
      <w:r>
        <w:t>Bundesgericht (BGE), 1976-10-27, DE</w:t>
      </w:r>
    </w:p>
    <w:p>
      <w:r>
        <w:rPr>
          <w:b/>
        </w:rPr>
        <w:t xml:space="preserve">Quelle: </w:t>
      </w:r>
      <w:r>
        <w:t>https://mcp.opencaselaw.ch/entscheid/bge_BGE_105_IB_22</w:t>
      </w:r>
    </w:p>
    <w:p>
      <w:r>
        <w:t>FR: BGE BGE 105 IB 22 du 27 octobre 1976</w:t>
      </w:r>
    </w:p>
    <w:p>
      <w:r>
        <w:t>IT: BGE BGE 105 IB 22 del 27 ottobre 1976</w:t>
      </w:r>
    </w:p>
    <w:p>
      <w:pPr>
        <w:pStyle w:val="Heading2"/>
      </w:pPr>
      <w:r>
        <w:t>Regeste</w:t>
      </w:r>
    </w:p>
    <w:p>
      <w:r>
        <w:t>Regeste Entzug des Motorfahrzeug-Führerausweises, Ergänzung durch den Entzug des Motorfahrrad-Führerausweises; Art. 34 der V über die Zulassung von Personen und Fahrzeugen zum Strassenverkehr vom 27. Oktober 1976 (VZV). Art. 34 VZV enthält - abweichend von der früheren Regelung des BRB vom 27. August 1969 - keine Grundlage dafür, den Entzug des Motorfahrzeug-Führerausweises durch den Entzug des Motorfahrrad-Führerausweises oder ein entsprechendes Fahrverbot zu ergänzen. Die Ergänzung ist nur zulässig, wenn nicht ein Warnungs-, sondern ein Sicherungsentzug in Frage steht.</w:t>
      </w:r>
    </w:p>
    <w:p>
      <w:r>
        <w:t>Regeste Retrait du permis de conduire un véhicule automobile, étendue au retrait du permis de conduire un cyclomoteur; art. 34 de l'O réglant l'admission des personnes et des véhicules à la circulation routière du 27 octobre 1976 (OAC). L'art. 34 OAC ne contient - à la différence de la règle antérieure de l'ACF du 27 août 1969 - aucune disposition permettant d'étendre le retrait du permis de conduire un véhicule automobile au retrait du permis de conduire un cyclomoteur ou à une interdiction de circuler correspondante. L'étendue du retrait n'est admissible que pour des raisons de sécurité routière, mais non pour un retrait d'admonestation.</w:t>
      </w:r>
    </w:p>
    <w:p>
      <w:r>
        <w:t>Regesto Revoca della licenza di condurre un veicolo a motore, accompagnata dalla revoca della licenza di condurre un ciclomotore; art. 34 dell'O sull'ammissione alla circolazione di persone e veicoli, del 27 ottobre 1976 (OAC). L'art. 34 OAC non contiene - a differenza della disciplina vigente sotto l'imperio del DCF del 27 agosto 1969 - alcuna disposizione che permetta di completare la revoca della licenza di condurre un veicolo a motore con la revoca della licenza di condurre un ciclomotore o con un corrispondente divieto di circolare. Tale estensione della revoca è consentita soltanto per ragioni di sicurezza, non invece a scopo d'ammonimento.</w:t>
      </w:r>
    </w:p>
    <w:p>
      <w:pPr>
        <w:pStyle w:val="Heading2"/>
      </w:pPr>
      <w:r>
        <w:t>Erwägungen</w:t>
      </w:r>
    </w:p>
    <w:p>
      <w:r>
        <w:rPr>
          <w:b/>
        </w:rPr>
        <w:t>E. 2</w:t>
      </w:r>
    </w:p>
    <w:p>
      <w:r>
        <w:t>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Motorfahrräder sind Motorfahrzeuge im Sinne der gesetzlichen Ordnung, wie sich aus der Legaldefinition von Art. 7 Abs. 1 SVG ergibt ( BGE 104 Ib 93 ). Art. 16 Abs. 2 und 3 SVG spricht nur vom Entzug "des Führer- und Lernausweises" und enthält keine Bestimmung darüber, ob aufgrund eines Vorfalls, der sich beim Führen eines Motorfahrzeuges einer bestimmten Kategorie ereignete, stets der Führerausweis für sämtliche Motorfahrzeugkategorien zu entziehen sei, oder ob auch der Entzug für einzelne Kategorien in Frage komme. Es stände vom Gesetz her deshalb nichts im Wege, den Entzug des Motorfahrzeug-Führerausweises auch auf ein Motorfahrrad-Fahrverbot auszudehnen. Die Verkehrszulassungsverordnung sieht das - im Gegensatz zum früheren Bundesratsbeschluss - jedoch nicht mehr vor. Wenn Art. 34 Abs. 1 VZV bestimmt, dass der Entzug des Führerausweises für eine bestimmte Kategorie den Entzug des Ausweises für alle Motorfahrzeugkategorien zur Folge hat, so sind damit die in Art. 3 VZV aufgezählten Motorfahrzeugkategorien gemeint. Auf Motorfahrräder bezieht sich die Bestimmung dagegen nicht, denn diese werden im Verordnungsrecht nicht zu den Motorfahrzeugen gezählt, sondern speziellen Vorschriften unterstellt (vgl. z.B. die Abschnitte 11 BGE 105 Ib 22 S. 26 und 12, 131 und 132 VZV). Es ist auch keine andere Vorschrift der Verordnung ersichtlich, die eine solche Ausdehnung des Führerausweisentzugs auf ein Motorfahrrad-Fahrverbot vorsehen würde. Das Amt für Administrativmassnahmen stellt das nicht in Abrede. Es macht jedoch geltend, die Ausdehnung ergebe sich einerseits daraus, dass nach der neuen Verordnung auch für Motorfahrräder ein Führerausweis erforderlich sei, und anderseits aus dem Umstand, dass der Motorfahrzeug-Führerausweis zugleich den Motorfahrrad-Führerausweis enthalte. Wenn jener entzogen werde, so bewirke das zugleich den Entzug des Führerausweises für Motorfahrräder. Dieser Auffassung kann nicht gefolgt werden. Wie bereits die Rekurskommission zutreffend darlegte, versteht das schweizerische Recht unter dem "Führerausweis" sowohl die Bewilligung zum Führen eines Fahrzeuges der im Ausweis genannten Art im öffentlichen Verkehr, als auch die Urkunde über diese Bewilligung (vgl. STAUFFER, Der Entzug des Führerausweises, Diss. Bern 1966, S. 13). Nach dem neuen Recht verbrieft der Führerausweis für eine der Motorfahrzeugkategorien nach Art. 3 VZV neben der Berechtigung zum Führen eines entsprechenden Motorfahrzeuges zugleich die Bewilligung zum Führen eines Motorfahrrades. Wenn jene Berechtigung entzogen wird, so heisst das nicht notwendigerweise, dass auch die Bewilligung zum Führen eines Motorfahrrades dahinfalle. Wie es sich damit verhält, hängt vielmehr davon ab, wie die massgebenden Vorschriften den Umfang der Massnahme bestimmen, und es kommt nicht entscheidend darauf an, dass die Bewilligungen in ein und derselben Urkunde verbrieft sind. Massgebend ist demnach, dass die Verkehrszulassungsverordnung eine Ausdehnung des Führerausweisentzugs auf ein Fahrverbot für Motorfahrräder nicht vorsieht, wie eingangs dargelegt wurde. Wie die Eidg. Polizeiabteilung in ihrer Vernehmlassung ausführt, wurde bewusst darauf verzichtet, in die Verkehrszulassungsverordnung eine Vorschrift über die Ausdehnung des Führerausweis-Entzugs auf ein Motorfahrrad-Fahrverbot aufzunehmen. Es trifft freilich zu, dass dabei nicht die Auffassung bestand, eine solche Ausdehnung solle überhaupt nicht mehr zulässig sein. Vielmehr herrschte die Meinung, das Vorgehen in dieser Frage solle der Praxis überlassen bleiben. In den Weisungen des Eidg. Justiz- und Polizeidepartements vom 15. Dezember 1976 für die Anwendung der Verordnung wurde BGE 105 Ib 22 S. 27 näher dargelegt, wie vorzugehen sei, wenn der Führerausweis entzogen werde, ohne gleichzeitig ein Motorfahrrad-Fahrverbot auszusprechen (vgl. die Weisung zu Art. 27 VZV ). Damit wurde indirekt zum Ausdruck gebracht, dass eine solche Ausdehnung des Führerausweisentzugs nicht ausgeschlossen, aber auch nicht obligatorisch sei. Bei dieser Vorschrift handelt es sich indes um eine blosse Dienstanweisung, die als Grundlage für eine Ausdehnung des Führerausweisentzugs nicht in Betracht kommt. Die Polizeiabteilung vertritt über dies in ihrer Vernehmlassung zur vorliegenden Verwaltungsgerichtsbeschwerde selber die Auffassung, dass auf die Ausdehnung des Führerausweisentzugs "nach unten" angesichts der Tatsache, dass die neue Verordnung das nicht mehr vorsehe, aber auch aus sachlichen Gründen, zu verzichten sei. Es bleibt deshalb bei der Feststellung, dass nach der Verkehrszulassungsverordnung der Entzug des Motorfahrzeug-Führerausweises für eine bestimmte Kategorie zwar grundsätzlich den Entzug des Ausweises für alle Motorfahrzeugkategorien gemäss Art. 3 VZV zur Folge hat, nicht dagegen das Verbot, ein Motorfahrrad zu führen. Eine Bestimmung, welche die Ergänzung des Führerausweisentzugs durch ein Motorfahrrad-Fahrverbot vorsehen würde, ist in der neuen Verordnung nicht mehr enthalten. Eine Ausdehnung "nach unten" kann deshalb nicht mehr angeordnet werden, es sei denn, es stehe nicht ein Warnungs-, sondern ein Sicherungsentzug in Frage ( Art. 16 Abs. 1 SVG , Art. 36 Abs. 1 VZV ). Darum geht es hier jedoch nicht. Bei dieser Sachlage erweist sich die Beschwerde des Amtes für Administrativmassnahmen als unbegründet. c) Zusammenfassend ergibt sich, dass die Verkehrszulassungsverordnung es dem pflichtgemässen Ermessen der Verfügenden Behörde überlässt, wegen einer Widerhandlung, die mit einem Motorfahrrad begangen wird, auch den Entzug des Motorfahrzeug-Führerausweises auszusprechen ( Art. 37 Abs. 1 VZV ; vgl. BGE 104 Ib 87 ff.). Sie sieht dagegen nicht vor, dass der Entzug des Motorfahrzeug-Führerausweises durch ein Verbot des Motorfahrradfahrens ergänzt werden könne ( Art. 34 VZV ). Vorbehalten bleibt der Fall des Sicherungsentzugs ( Art. 36 Abs. 1 VZV ). Ab dem 1. Januar 1980 wird die Entzugsbehörde den Fahrzeugführern, denen der Motorfahrzeug-Führerausweis entzogen wird und die keinen besonderen Führerausweis für BGE 105 Ib 22 S. 28 Motorfahrräder besitzen, für die Dauer der Massnahme einen Ausweis für das Führen eines Motorfahrrades zu erteilen haben (Art. 27 Abs. 1, 151 Abs. 2 VZV). Das kann durch Aufnahme einer entsprechenden Bestimmung in die Entzugsverfügung oder durch Abgabe eines speziellen Ausweises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