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165 vom 1. Januar 1979</w:t>
      </w:r>
    </w:p>
    <w:p>
      <w:r>
        <w:t>Bundesgericht (BGE), 1979-01-01, DE</w:t>
      </w:r>
    </w:p>
    <w:p>
      <w:r>
        <w:rPr>
          <w:b/>
        </w:rPr>
        <w:t xml:space="preserve">Quelle: </w:t>
      </w:r>
      <w:r>
        <w:t>https://mcp.opencaselaw.ch/entscheid/bge_BGE_105_IB_165</w:t>
      </w:r>
    </w:p>
    <w:p>
      <w:r>
        <w:t>FR: BGE BGE 105 IB 165 du 1 janvier 1979</w:t>
      </w:r>
    </w:p>
    <w:p>
      <w:r>
        <w:t>IT: BGE BGE 105 IB 165 del 1 gennaio 1979</w:t>
      </w:r>
    </w:p>
    <w:p>
      <w:pPr>
        <w:pStyle w:val="Heading2"/>
      </w:pPr>
      <w:r>
        <w:t>Regeste</w:t>
      </w:r>
    </w:p>
    <w:p>
      <w:r>
        <w:t>Regeste Fremdenpolizeiliche Ausweisung. 1. Das Verhältnis zwischen strafrechtlicher Landesverweisung und fremdenpolizeilicher Ausweisung (E. 5). 2. Angemessenheit der Ausweisung (Art. 11 Abs. 3 ANAG). Die Begehung eines schweren Verbrechens rechtfertigt nicht in jedem Fall die Ausweisung (E. 6).</w:t>
      </w:r>
    </w:p>
    <w:p>
      <w:r>
        <w:t>Regeste Expulsion prononcée par la police des étrangers. 1. Rapport entre l'expulsion prononcée par le juge pénal et celle qu'ordonne la police des étrangers (consid. 5). 2. Opportunité de l'expulsion administrative (art. 11 al. 3 LSEE). La commission d'un crime grave ne justifie pas nécessairement une mesure d'expulsion (consid. 6).</w:t>
      </w:r>
    </w:p>
    <w:p>
      <w:r>
        <w:t>Regesto Espulsione pronunciata dalla polizia degli stranieri. 1. Relazioni esistenti fra l'espulsione pronunciata dal giudice penale e quella ordinata dalla polizia degli stranieri (consid. 5). 2. Adeguatezza dell'espulsione amministrativa (art. 11 cpv. 3 LDDS). La commissione di un reato grave non giustifica necessariamente l'espulsione dello straniero (consid. 6).</w:t>
      </w:r>
    </w:p>
    <w:p>
      <w:pPr>
        <w:pStyle w:val="Heading2"/>
      </w:pPr>
      <w:r>
        <w:t>Erwägungen</w:t>
      </w:r>
    </w:p>
    <w:p>
      <w:r>
        <w:rPr>
          <w:b/>
        </w:rPr>
        <w:t>E. 4</w:t>
      </w:r>
    </w:p>
    <w:p>
      <w:r>
        <w:t>Die Beschwerdeführerin macht geltend, der angefochtene Entscheid stütze sich auf eine unrichtige oder unvollständige Tatsachenfeststellung. Der Regierungsrat führte in seinem Entscheid in allgemeiner Weise aus, das Verhalten der Beschwerdeführerin habe zu schweren Klagen Anlass gegeben. Tatsächlich lässt das dem Bundesgericht übergebene Dossier diesen allgemeinen Schluss nicht zu. Die Beschwerdeführerin verhielt sich seit ihrer Ankunft in der Schweiz im August 1966 bis zum 16. Oktober 1972, abgesehen von einer nicht ins Gewicht fallenden Bagatellsache, völlig klaglos, und erfuhr von den meisten Arbeitgebern eine sehr gute Beurteilung. Auch ihre Aufenthaltsbewilligung wurde stets anstandslos verlängert, zuletzt am 30. Juni 1972 bis zum 8. August 1974. Während des Strafvollzugs, in der Halbfreiheit und schliesslich in der Freiheit gab sie zu keinen Beschwerden Anlass. Die Beurteilungen aus dieser Zeit lauten durchwegs positiv. In der Vernehmlassung anerkennt denn der Regierungsrat selber, dass sich die "schweren Klagen" im Tötungsdelikt erschöpfen.</w:t>
      </w:r>
    </w:p>
    <w:p>
      <w:r>
        <w:rPr>
          <w:b/>
        </w:rPr>
        <w:t>E. 5</w:t>
      </w:r>
    </w:p>
    <w:p>
      <w:r>
        <w:t>Für dieses Verbrechen wurde die Beschwerdeführerin zu 8 Jahren Zuchthaus verurteilt sowie gemäss Art. 55 StGB für 15 Jahre aus dem Gebiet der Schweiz verwiesen. Wegen guter Führung wurde sie mit einer Probefrist von 3 Jahren bedingt entlassen, nachdem zwei Drittel der Strafe vollzogen waren. In dieser Verfügung vom 7. Dezember 1977 erwog die Justizdirektion des Kantons Zürich zudem, dass sich angesichts BGE 105 Ib 165 S. 168 der günstigen Prognose, die Frau V. gestellt werden könne, nicht behaupten lasse, dass sich der Vollzug der Landesverweisung aus Gründen der öffentlichen Sicherheit aufdränge. Bei der Frage, ob die Schweiz oder Jugoslawien die besseren Voraussetzungen für die Resozialisierung biete, sei zu berücksichtigen, dass sie sich seit dem Jahre 1966 in der Schweiz aufhalte und sich im allgemeinen recht eingelebt habe. Bindungen ans Heimatland seien heute nicht mehr vorhanden. Das sie in Jugoslawien erwartende Schicksal sei infolge der Beziehung zu ihrem Verlobten (und heutigen Ehemann), welcher dort wegen einer Denunziation als Antikommunist eine zweijährige Freiheitsstrafe verbüsst und nun in Basel das schweizerische Asylrecht erhalten habe, zumindest ungewiss. Jedenfalls sei es schwierig für sie, dort Arbeit zu finden. Aus diesen Gründen schob die Justizdirektion des Kantons Zürich den Vollzug der Landesverweisung bedingt auf. Ebenso beschloss die Eidgenössische Fremdenpolizei am 6. August 1974, die auf unbestimmte Dauer verfügte Einreisesperre vorläufig zu annullieren. Das Bundesgericht hat zwar wiederholt festgestellt, dass gemäss Art. 10 Abs. 4 ANAG die strafrechtliche Landesverweisung von der im ANAG geregelten fremdenpolizeilichen Ausweisung unberührt bleibt. Sowohl die gesetzliche Grundlage als auch der Zweck von Landesverweisung und administrativer Ausweisung sind voneinander verschieden. Bei der Verhängung der als Nebenstrafe vorgesehenen Landesverweisung stehen strafrechtliche Gesichtspunkte im Vordergrund, während dem Entscheid der Verwaltungsbehörde fremdenpolizeiliche Kriterien zugrunde liegen ( BGE 98 Ib 89 ; BGE 97 I 64 ; Urteil vom 10. November 1978 i.S. S.-W.). Die Berechtigung dieses Dualismus ist aber nicht unbestritten und dessen Auswirkungen vermögen im Einzelfall nicht immer zu befriedigen. Das ist vor allem dann der Fall, wenn die tatsächlichen Voraussetzungen gleich sind, das heisst, wenn sich die administrative Ausweisung vor allem auf eine strafbare Handlung stützt, wie das vorliegend der Fall ist. Unter diesen Voraussetzungen wäre im Interesse der Rechtssicherheit und der Rechtseinheit zu erwarten, dass sich die verschiedenen Behörden bemühen würden, ihre Tätigkeit zu koordinieren (vgl. BGE 96 I 774 ; Urteil vom 22. Mai 1975 i.S. E.). Der Umstand, dass die instruierende Polizeidirektion und der Regierungsrat den Erwägungen der Justizdirektion nicht Rechnung getragen haben, führt indessen BGE 105 Ib 165 S. 169 allein nicht zur Gutheissung der Beschwerde, denn das Bundesgericht hat die geltende Ordnung und damit die Unabhängigkeit von Landesverweisung und Ausweisung so einzuhalten, wie sie vom Bundesgesetzgeber festgelegt worden ist ( Art. 113 Abs. 3 BV ).</w:t>
      </w:r>
    </w:p>
    <w:p>
      <w:r>
        <w:rPr>
          <w:b/>
        </w:rPr>
        <w:t>E. 6</w:t>
      </w:r>
    </w:p>
    <w:p>
      <w:r>
        <w:t>a) Nach Art. 10 Abs. 1 lit. a ANAG kann ein Ausländer aus der Schweiz ausgewiesen werden, wenn er wegen eines Verbrechens oder Vergehens gerichtlich bestraft worden ist. Diese Voraussetzung ist im vorliegenden Fall erfüllt. Nach Art. 11 Abs. 3 ANAG soll die Ausweisung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Art. 104 lit. a OG ; BGE 98 Ib 3 ff.). Wenn eine Ausweisung nach Art. 10 Abs. 1 lit. a ANAG zwar rechtlich begründet, aber nach den Umständen nicht angemessen erscheint, soll sie bloss angedroht werden ( Art. 16 Abs. 3 ANAV ). b) Die Beschwerdeführerin hat die Frau ihres Freundes im Jahre 1972 vorsätzlich getötet. Selbst wenn ihr zahlreiche Milderungsgründe angerechnet wurden, trifft sie bezüglich dieser Tat ein schweres Verschulden. Auf der andern Seite befindet sich die Beschwerdeführerin seit 13 Jahren in der Schweiz und hat sich hier eingelebt. Zudem würden ihr und ihrer Familie wesentliche Nachteile drohen, wenn sie ausgewiesen würde. Die Sachlage hat sich insbesondere nach dem Ausweisungsbeschluss des Regierungsrates zugunsten der Beschwerdeführerin geändert. Das Bundesgericht hat in konstanter Rechtsprechung erkannt, dass bei der Frage, ob eine Ausweisung angemessen sei oder nicht, auch Tatsachen zu berücksichtigen sind, die erst nach Fällung des angefochtenen Entscheides eingetreten sind ( BGE 105 Ia 163 ; BGE 98 Ib 178 mit Hinweisen, 512 E. 1b). Vorliegend hat die Beschwerdeführerin im September 1978 V. geheiratet, dem die Schweiz politisches Asyl gewährte. Die beiden Ehegatten leben in Basel BGE 105 Ib 165 S. 170 und kümmern sich um ihr gemeinsames mongoloides Kind, welches nach wie vor intensiver Pflege in einem Heim bedarf. Diese Angaben stützen sich im wesentlichen auf das Schreiben der Vertreterin der Beschwerdeführerin vom 8. April 1979. Treffen sie zu, so verletzt die Ausweisung von Frau V. Bundesrecht. Es rechtfertigt sich unter diesen Umständen, die Sache zur Neubeurteilung an den Regierungsrat zurückzuweisen. Dieser wird den Sachverhalt überprüfen müssen und gegebenenfalls zu entscheiden haben, ob die Ausweisung lediglich anzudrohen ( BGE 98 Ib 179 E. 2d; vgl. auch Urteil vom 19. Mai 1978 i.S. G., E. 2c) oder von einer Administrativmassnahme überhaupt abzusehen sei. Hingegen ginge es nicht an, den Vollzug der Ausweisung auf unbestimmte Zeit aufzuschieben ( BGE 98 Ib 179 ).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