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114 vom 1. Januar 1979</w:t>
      </w:r>
    </w:p>
    <w:p>
      <w:r>
        <w:t>Bundesgericht (BGE), 1979-01-01, FR</w:t>
      </w:r>
    </w:p>
    <w:p>
      <w:r>
        <w:rPr>
          <w:b/>
        </w:rPr>
        <w:t xml:space="preserve">Quelle: </w:t>
      </w:r>
      <w:r>
        <w:t>https://mcp.opencaselaw.ch/entscheid/bge_BGE_105_IB_114</w:t>
      </w:r>
    </w:p>
    <w:p>
      <w:r>
        <w:t>FR: BGE BGE 105 IB 114 du 1 janvier 1979</w:t>
      </w:r>
    </w:p>
    <w:p>
      <w:r>
        <w:t>IT: BGE BGE 105 IB 114 del 1 gennaio 1979</w:t>
      </w:r>
    </w:p>
    <w:p>
      <w:pPr>
        <w:pStyle w:val="Heading2"/>
      </w:pPr>
      <w:r>
        <w:t>Regeste</w:t>
      </w:r>
    </w:p>
    <w:p>
      <w:r>
        <w:t>Regeste Führerausweisentzug wegen Überschreitung der Höchstgeschwindigkeit. Beweislastverteilung. Einem Motorfahrzeugführer darf der Führerausweis nur entzogen oder eine Verwarnung ausgesprochen werden, wenn hinreichend nachgewiesen ist, dass er eine Verkehrsregelverletzung begangen hat. Wenn lediglich die Verkehrsregelverletzung festgestellt, der Führer aber nicht identifiziert werden kann, darf sich die Behörde nicht auf die Vermutung beschränken, dass der Halter des Fahrzeugs auch dessen Lenker im Zeitpunkt der Verkehrsregelverletzung gewesen sei und die Beweisführungspflicht für das Gegenteil dem Halter zuschieben. Mitwirkungspflichten des Halters bei der Abklärung des Sachverhalts und Folgen der Verletzung dieser Pflichten. Wenn die Angaben des Halters nicht unglaubwürdig sind und ihm auch nicht nachgewiesen werden kann, dass er das Fahrzeug im fraglichen Zeitpunkt gelenkt hat, muss die Behörde auf jede Massnahme gegen ihn verzichten.</w:t>
      </w:r>
    </w:p>
    <w:p>
      <w:r>
        <w:t>Regeste Retrait du permis de conduire pour excès de vitesse. Charge de la preuve. Le conducteur d'un véhicule automobile ne saurait se voir infliger un avertissement ou un retrait de permis d'admonestation que s'il est établi à satisfaction de droit qu'il est bien l'auteur de cette infraction. Lorsqu'une infraction a été dûment constatée, sans que son auteur puisse être identifié, l'autorité ne saurait se borner à présumer que le véhicule était piloté par son détenteur, sauf à ce dernier à rapporter la preuve qu'il l'était en réalité par un tiers. Obligation du détenteur de collaborer à l'établissement des faits et conséquences de la violation de ce devoir. Si ses affirmations ne paraissent pas absolument invraisemblables et qu'il ne soit pas possible de rapporter la preuve qu'il conduisait au moment critique, l'autorité doit renoncer à toute mesure contre lui.</w:t>
      </w:r>
    </w:p>
    <w:p>
      <w:r>
        <w:t>Regesto Revoca della licenza di condurre per eccesso di velocità. Onere della prova. Un ammonimento o una revoca della licenza di condurre può essere inflitto ad un conducente di un veicolo a motore soltanto ove sia provato in modo conforme al diritto che egli è l'autore dell'infrazione posta a suo carico. Allorquando un'infrazione sia stata debitamente accertata, ma il suo autore non sia stato identificato, l'autorità non può limitarsi a presumere che il veicolo fosse guidato dal suo detentore e a lasciare a questi l'onere di provare che il veicolo era guidato da un terzo. Obbligo del detentore di collaborare nell'accertamento dei fatti, e conseguenze della violazione di tale obbligo. Se le affermazioni del detentore non paiono del tutto inverosimili e non sia possibile provare che egli guidava al momento dell'infrazione, l'autorità deve rinunciare ad adottare una misura nei suoi confronti.</w:t>
      </w:r>
    </w:p>
    <w:p>
      <w:pPr>
        <w:pStyle w:val="Heading2"/>
      </w:pPr>
      <w:r>
        <w:t>Erwägungen</w:t>
      </w:r>
    </w:p>
    <w:p>
      <w:r>
        <w:rPr>
          <w:b/>
        </w:rPr>
        <w:t>E. 1</w:t>
      </w:r>
    </w:p>
    <w:p>
      <w:r>
        <w:t>a) Le conducteur d'un véhicule automobile ne saurait se voir infliger un avertissement ou un retrait de permis d'admonestation pour violation des règles de la circulation que s'il est établi à satisfaction de droit qu'il BGE 105 Ib 114 S. 117 est bien l'auteur de cette infraction. Autrement dit, l'autorité ne peut prononcer ou confirmer sur recours une telle mesure que si elle a acquis la conviction que c'est bien l'intéressé lui-même qui a enfreint les règles de la circulation. Lorsqu'une infraction a été dûment constatée, sans cependant que son auteur puisse être identifié, l'autorité ne saurait se borner à présumer que le véhicule était piloté par son détenteur, sauf à ce dernier à rapporter la preuve qu'il l'était en réalité par un tiers. Appliqué par la jurisprudence en matière de responsabilité pénale ( ATF 102 IV 258 ), ce principe doit valoir aussi bien en matière de mesures administratives prises contre un automobiliste. Sans doute, lorsque l'auteur d'une infraction constatée ne peut être identifié sur-le-champ, l'autorité peut-elle, dans un premier temps, partir de l'idée que le détenteur du véhicule en question en était aussi le conducteur au moment critique. Mais dès lors que cette version est contestée par l'intéressé, il appartient à l'autorité compétente pour prononcer (ou pour confirmer) une éventuelle mesure administrative d'intervenir immédiatement pour provoquer les explications de celui-ci, qui est alors tenu de les fournir dans toute la mesure où l'on peut raisonnablement les attendre de lui, et de prendre, le cas échéant, de sa propre initiative, en vertu de la maxime officielle qui régit ce type de procédures administratives, toute mesure d'instruction propre à élucider cette question. Si l'intéressé se soustrait sans motif valable à ce devoir de collaboration ou si la version des faits qu'il soutient apparaît d'emblée dénuée de toute vraisemblance, il appartiendra à l'autorité d'apprécier sur la base de l'ensemble des circonstances du cas si l'on peut néanmoins considérer comme suffisamment établi qu'il est l'auteur de l'infraction incriminée (arrêt du 9 juillet 1971, en la cause Kramer, partiellement publié aux ATF 97 I 479 , consid. 2 non publié, résumé au JdT 1972 I 399). Si, en revanche, la version des faits donnée par le détenteur ne paraît pas absolument invraisemblable et qu'il ne soit pas possible par ailleurs de rapporter la preuve que celui-ci conduisait son véhicule au moment critique, l'autorité devra renoncer à toute mesure contre lui. C'est à cette dernière, en effet, qu'incombe le fardeau de la preuve, s'agissant d'une mesure restreignant la liberté de l'intéressé, et c'est donc elle qui doit supporter les conséquences d'un éventuel échec de la preuve. BGE 105 Ib 114 S. 118 b) Comme le relève le Tribunal administratif, dont les constatations de fait lient le Tribunal fédéral ( art. 105 al. 2 OJ ), deux personnes se trouvaient à bord du véhicule au moment critique et le recourant ne conteste pas avoir été l'une d'elles. Il nie en revanche avoir piloté le véhicule à ce moment. Le Tribunal administratif n'affirme pas être parvenu à une conclusion contraire après avoir procédé à une appréciation de l'ensemble des circonstances de la cause. Il se borne au contraire à déclarer que le recourant n'est pas parvenu à renverser la présomption que posait la présence de son véhicule à l'endroit et au moment critiques. Il y a donc sur ce point non pas constatation de fait qui lierait le Tribunal fédéral, mais application d'une présomption qui, comme on l'a vu, ne saurait suffire à fonder une mesure administrative. L'arrêt déféré ne peut donc être maintenu. Le recours doit être admis et l'affaire renvoyée au Tribunal administratif,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