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36 vom 1. Januar 1979</w:t>
      </w:r>
    </w:p>
    <w:p>
      <w:r>
        <w:t>Bundesgericht (BGE), 1979-01-01, DE</w:t>
      </w:r>
    </w:p>
    <w:p>
      <w:r>
        <w:rPr>
          <w:b/>
        </w:rPr>
        <w:t xml:space="preserve">Quelle: </w:t>
      </w:r>
      <w:r>
        <w:t>https://mcp.opencaselaw.ch/entscheid/bge_BGE_105_IA_36</w:t>
      </w:r>
    </w:p>
    <w:p>
      <w:r>
        <w:t>FR: BGE BGE 105 IA 36 du 1 janvier 1979</w:t>
      </w:r>
    </w:p>
    <w:p>
      <w:r>
        <w:t>IT: BGE BGE 105 IA 36 del 1 gennaio 1979</w:t>
      </w:r>
    </w:p>
    <w:p>
      <w:pPr>
        <w:pStyle w:val="Heading2"/>
      </w:pPr>
      <w:r>
        <w:t>Regeste</w:t>
      </w:r>
    </w:p>
    <w:p>
      <w:r>
        <w:t>Regeste Staats- und Beamtenhaftung. Zeitlicher Geltungsbereich der durch den revidierten Art. 21 der Walliser Kantonsverfassung neu eingeführten direkten Staatshaftung.</w:t>
      </w:r>
    </w:p>
    <w:p>
      <w:r>
        <w:t>Regeste Responsabilité de l'Etat et de ses fonctionnaires. Application dans le temps de la responsabilité directe de l'Etat, introduite par la révision de l'art. 21 de la Constitution du canton du Valais.</w:t>
      </w:r>
    </w:p>
    <w:p>
      <w:r>
        <w:t>Regesto Responsabilità dello Stato e dei suoi funzionari. Applicazione nel tempo della responsabilità diretta dello Stato, introdotta con la revisione dell'art. 21 della costituzione vallesana.</w:t>
      </w:r>
    </w:p>
    <w:p>
      <w:pPr>
        <w:pStyle w:val="Heading2"/>
      </w:pPr>
      <w:r>
        <w:t>Erwägungen</w:t>
      </w:r>
    </w:p>
    <w:p>
      <w:r>
        <w:rPr>
          <w:b/>
        </w:rPr>
        <w:t>E. 1</w:t>
      </w:r>
    </w:p>
    <w:p>
      <w:r>
        <w:t>Der formell auf den 1. Januar 1977 in Kraft gesetzte revidierte Art. 21 KV, der für schädigende Handlungen von Staatsorganen nunmehr eine direkte Staatshaftung vorsieht, spricht sich über die Frage der zeitlichen Anwendbarkeit der neuen Regelung nicht aus. Es obliegt nach Art. 21 Abs. 3 KV dem kantonalen Gesetzgeber, die zur Anwendung der neuen Ordnung erforderlichen Vorschriften zu erlassen. Auch die Schaffung allfälliger Übergangsbestimmungen ist nach Art. 21 Abs. 3 KV Sache des Gesetzgebers. Das inzwischen erlassene und am 1. Januar 1979 in Kraft gesetzte kantonale Verantwortlichkeitsgesetz vom 10. Mai 1978 enthält indessen keinerlei intertemporale Regelung. Wie es sich mit der zeitlichen Geltung dieses Gesetzes verhält, kann im Sinne der folgenden Erwägungen offen bleiben.</w:t>
      </w:r>
    </w:p>
    <w:p>
      <w:r>
        <w:rPr>
          <w:b/>
        </w:rPr>
        <w:t>E. 2</w:t>
      </w:r>
    </w:p>
    <w:p>
      <w:r>
        <w:t>Der bereits zwei Jahre vor dem Verantwortlichkeitsgesetz in Kraft gesetzte revidierte Art. 21 KV stellt wohl den Grundsatz auf, dass ein durch Handlungen staatlicher Organe geschädigter Dritter nunmehr direkt den Staat belangen kann (Abs. 1), dem unter gewissen Voraussetzungen ein Rückgriffsrecht auf den fehlbaren Funktionär zusteht (Abs. 2). Die Frage, wann eine solche Schadenshaftung des Gemeinwesens besteht (Kausal- oder Verschuldenshaftung, allenfalls Grad des Verschuldens), wird jedoch durch Art. 21 Abs. 1 KV nicht beantwortet. Ihre Regelung wurde dem Gesetzgeber überlassen (vgl. auch Botschaft zur bundesrechtlichen Gewährleistung der Verfassungsänderung, BBl 1977 II 260). Solange nicht wenigstens diese elementare Frage durch Art. 4 des Verantwortlichkeitsgesetzes verbindlich geregelt war, konnte das System BGE 105 Ia 36 S. 39 der direkten Staatshaftung noch keine Anwendung finden. Erst das gestützt auf Art. 21 Abs. 3 KV erlassene Verantwortlichkeitsgesetz vom 10. Mai 1978 (in Kraft seit 1. Januar 1979) ermöglicht die Durchführung der neuen Regelung. Bis zu dessen Inkrafttreten galt das frühere Gesetz vom 21. Mai 1840, das erst durch Art. 22 lit. b des Verantwortlichkeitsgesetzes formell aufgehoben worden ist. Schon aus diesem Grunde liegt die Annahme nahe, dass die vorliegende Haftungsstreitigkeit noch nach bisherigem Recht zu beurteilen sei. Sowohl der behauptete Schaden als auch die Klageeinreichung fallen in die Zeit vor Inkraftsetzung des Verantwortlichkeitsgesetzes, das erst die Durchführung des neuen Systems der direkten Staatshaftung ermöglicht. Es bedeutet daher im Ergebnis keine Verletzung von Art. 4 BV , wenn das Kantonsgericht die am 14. Juli 1978 erhobene Klage mangels Passivlegitimation des Staates abwies. Dass die rückwirkende Anwendbarkeit der neuen Haftungsordnung auf den vorliegenden Tatbestand aus dem inzwischen erlassenen Verantwortlichkeitsgesetz hervorgehe und dass das Kantonsgericht verpflichtet gewesen wäre, dies bei der Beurteilung der noch vor dem Inkrafttreten dieses Gesetzes erhobenen Klage zu berücksichtigen, wird nicht geltend gemacht, so dass sich diesbezügliche Erörterungen erübrigen. Der Beschwerdeführer stützt seine Beschwerde einzig auf die These, dass das Kantonsgericht dem neuen Art. 21 KV zu Unrecht keine rückwirkende Geltung zuerkannt habe, und dieser Einwand ist nach dem Gesagten unbehelflich. Wie es sich verhielte, wenn die fragliche Klage unter der Geltung des am 1. Januar 1979 in Kraft gesetzten Verantwortlichkeitsgesetzes eingereicht worden wäre bzw. ob eine solche Klage gegen den Staat heute nochmals eingereicht werden könnte, ist hier nicht zu prüfen.</w:t>
      </w:r>
    </w:p>
    <w:p>
      <w:r>
        <w:rPr>
          <w:b/>
        </w:rPr>
        <w:t>E. 3</w:t>
      </w:r>
    </w:p>
    <w:p>
      <w:r>
        <w:t>Selbst wenn man mit dem Kantonsgericht davon ausgehen wollte, die im revidierten Art. 21 KV vorgesehene neue Ordnung der Staats- und Beamtenhaftung sei schon mit der Inkraftsetzung dieser Verfassungsbestimmung unmittelbar anwendbar gewesen, hätte es sich, mangels einer ausdrücklichen gegenteiligen Regelung, ohne Willkür vertreten lassen, die Passivlegitimation des Staates für Schäden, die sich vor Inkraftsetzung der neuen Ordnung ereignet haben, zu verneinen. Es sind in einem Fall der vorliegenden Art verschiedene Übergangsregelungen denkbar. Das eidgenössische Verantwortlichkeitsgesetz BGE 105 Ia 36 S. 40 vom 14. März 1958 sieht in Art. 26 Abs. 2 vor, dass die (neu eingeführte) Haftung des Bundes auch für Schäden gilt, die vor Inkrafttreten des Gesetzes entstanden sind. Eine gegenteilige Regelung findet sich im zürcherischen Haftungsgesetz vom 14. September 1969 (§ 35 Abs. 3); danach sind vor dem Inkrafttreten des Gesetzes verursachte Schäden noch nach bisherigem Recht zu beurteilen, das nur eine Beamtenhaftung vorsah (vgl. dazu SCHWARZENBACH, Die Staats- und Beamtenhaftung in der Schweiz, S. 72 f. und S. 170). Unter dem Gesichtswinkel von Art. 4 BV lassen sich beide Lösungen vertreten. Soweit eine neue Haftungsordnung für den Bürger und den beteiligten Beamten gegenüber der bisherigen Regelung keine Nachteile bringt, steht es dem Gesetzgeber frei, sie auch rückwirkend zur Anwendung zu bringen; die rückwirkende Inkraftsetzung einer begünstigenden Regelung ist grundsätzlich zulässig (IMBODEN/RHINOW, Verwaltungsrechtsprechung, Nr. 16, S. 106; BGE 99 V 203 ). Ein dahingehender Anspruch besteht aber nur, wenn die einschlägigen Normen dies vorsehen, was hier nicht dargetan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