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188 vom 1. Januar 1979</w:t>
      </w:r>
    </w:p>
    <w:p>
      <w:r>
        <w:t>Bundesgericht (BGE), 1979-01-01, DE</w:t>
      </w:r>
    </w:p>
    <w:p>
      <w:r>
        <w:rPr>
          <w:b/>
        </w:rPr>
        <w:t xml:space="preserve">Quelle: </w:t>
      </w:r>
      <w:r>
        <w:t>https://mcp.opencaselaw.ch/entscheid/bge_BGE_105_IA_188</w:t>
      </w:r>
    </w:p>
    <w:p>
      <w:r>
        <w:t>FR: BGE BGE 105 IA 188 du 1 janvier 1979</w:t>
      </w:r>
    </w:p>
    <w:p>
      <w:r>
        <w:t>IT: BGE BGE 105 IA 188 del 1 gennaio 1979</w:t>
      </w:r>
    </w:p>
    <w:p>
      <w:pPr>
        <w:pStyle w:val="Heading2"/>
      </w:pPr>
      <w:r>
        <w:t>Regeste</w:t>
      </w:r>
    </w:p>
    <w:p>
      <w:r>
        <w:t>Regeste Art. 88 OG; Legitimation Legitimation des Konkurrenten, die Erteilung eines Alkoholpatentes mit staatsrechtlicher Beschwerde anzufechten.</w:t>
      </w:r>
    </w:p>
    <w:p>
      <w:r>
        <w:t>Regeste Art. 88 OJ; qualité pour recourir Qualité du concurrent pour attaquer par la voie du recours de droit public la décision d'octroi d'une patente d'alcool.</w:t>
      </w:r>
    </w:p>
    <w:p>
      <w:r>
        <w:t>Regesto Art. 88 OG; legittimazione ricorsuale Legittimazione del concorrente ad impugnare con ricorso di diritto pubblico una decisione con cui è accordata la patente di vendita al minuto di bevande spiritose.</w:t>
      </w:r>
    </w:p>
    <w:p>
      <w:pPr>
        <w:pStyle w:val="Heading2"/>
      </w:pPr>
      <w:r>
        <w:t>Erwägungen</w:t>
      </w:r>
    </w:p>
    <w:p>
      <w:r>
        <w:rPr>
          <w:b/>
        </w:rPr>
        <w:t>E. 1</w:t>
      </w:r>
    </w:p>
    <w:p>
      <w:r>
        <w:t>a) Gemäss Art. 88 OG kommt das Recht zur Beschwerdeführung Bürgern und Korporationen bezüglich solcher "Rechtsverletzungen" zu, die sie durch allgemein verbindliche oder sie persönlich treffende Erlasse oder Verfügungen erlitten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öffentlicher Interessen ist sie nicht gegeben. Nach diesen Grundsätzen ist der Dritte, der durch die angefochtene Verfügung nicht unmittelbar betroffen ist, zur staatsrechtlichen Beschwerde nur legitimiert, sofern die als verletzt behauptete Norm neben dem Allgemeininteresse auch seine Interessen schützen will ( BGE 103 Ia 65 ff. betreffend den Mitbewerber; BGE 102 Ia 93 betreffend den Nachbarn; BGE 103 Ia 574 betreffend den Kläger im Strafverfahren). Steht die Verfassungsmässigkeit eines Alkoholpatentes in einem Kanton in Frage, in dem die Bewilligung des Alkoholausschanks von einem Bedürfnis abhängig gemacht wird, dann ist der Konkurrent nach dieser Rechtsprechung nur dann zur staatsrechtlichen Beschwerde gegen die Patenterteilung befugt, wenn die Bedürfnisklausel gestützt auf Art. 31ter BV erlassen und damit dem Schutz der bestehenden Gastwirtschaftsbetriebe vor übermässiger Konkurrenz dient. Wurde die Bedürfnisklausel indessen gestützt auf Art. 32quater BV eingeführt, dann dient sie ausschliesslich der Bekämpfung des Alkoholismus, also einem im öffentlichen Interesse liegenden Zweck. In diesem Fall sind die Konkurrenten nicht befugt, die Erteilung eines Patentes wegen Missachtung der Bedürfnisklausel anzufechten. Im vorliegenden Verfahren ist unbestritten, dass die im bernischen Gesetz über das Gastwirtschaftsgewerbe und den Handel mit geistigen Getränken vom 2. Februar 1938 vorgesehene Bedürfnisklausel gestützt auf Art. 32quater BV erlassen wurde. Die Beschwerdeführerin kann sich demnach gegen eine behauptete willkürliche Anwendung dieser Bestimmung nicht zur Wehr setzen ( BGE 97 I 889 mit Hinweisen; BGE 72 I 98 ). BGE 105 Ia 188 S. 190 c) Hingegen bleibt die Beschwerdeführerin, ohne Rücksicht auf ihre Beschwerdelegitimation in der Sache selbst, befugt, mit staatsrechtlicher Beschwerde eine formelle Rechtsverweigerung zu rügen ( BGE 103 Ia 574 ; 102 Ia 94 ; BGE 97 I 884 ).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