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193</w:t>
      </w:r>
    </w:p>
    <w:p>
      <w:r>
        <w:t>Bundesgericht (BGE), 1978-11-09, DE</w:t>
      </w:r>
    </w:p>
    <w:p>
      <w:r>
        <w:rPr>
          <w:b/>
        </w:rPr>
        <w:t xml:space="preserve">Quelle: </w:t>
      </w:r>
      <w:r>
        <w:t>https://mcp.opencaselaw.ch/entscheid/bge_BGE_104_V_193</w:t>
      </w:r>
    </w:p>
    <w:p>
      <w:r>
        <w:t>FR: ATF 104 V 193</w:t>
      </w:r>
    </w:p>
    <w:p>
      <w:r>
        <w:t>IT: DTF 104 V 193</w:t>
      </w:r>
    </w:p>
    <w:p>
      <w:pPr>
        <w:pStyle w:val="Heading2"/>
      </w:pPr>
      <w:r>
        <w:t>Regeste</w:t>
      </w:r>
    </w:p>
    <w:p>
      <w:r>
        <w:t>Regeste Kinderrenten für Pflegekinder (Art. 49 AHVV). Bei der Frage, ob ein Pflegeverhältnis unentgeltlich sei, sind die tatsächlich realisierbaren Unterhaltsbeiträge zu berücksichtigen.</w:t>
      </w:r>
    </w:p>
    <w:p>
      <w:r>
        <w:t>Regeste Rentes pour enfants recueillis (art. 49 RAVS). Pour décider si le statut de l'enfant recueilli est gratuit, il ne faut prendre en considération que les contributions d'entretien susceptibles d'être effectivement encaissées.</w:t>
      </w:r>
    </w:p>
    <w:p>
      <w:r>
        <w:t>Regesto Rendite per figli elettivi (art. 49 OAVS). Per decidere se lo statuto del figlio elettivo è gratuito, si debbono prendere in considerazione solo i contributi al mantenimento suscettibili di essere effettivamente incassati.</w:t>
      </w:r>
    </w:p>
    <w:p>
      <w:pPr>
        <w:pStyle w:val="Heading2"/>
      </w:pPr>
      <w:r>
        <w:t>Erwägungen</w:t>
      </w:r>
    </w:p>
    <w:p>
      <w:r>
        <w:rPr>
          <w:b/>
        </w:rPr>
        <w:t>E. 1</w:t>
      </w:r>
    </w:p>
    <w:p>
      <w:r>
        <w:t>a) Gemäss Art. 35 Abs. 1 IVG und Art. 22ter Abs. 1, 1. Satz, AHVG haben Rentenberechtigte für jedes Kind, das im Falle ihres Todes eine Waisenrente beziehen könnte, Anspruch auf eine Kinderrente. Dies gilt insbesondere für Adoptivkinder bis zur Vollendung des 18. Altersjahres, längstens aber bis zur Vollendung des 25. Altersjahres, wenn die Kinder noch in Ausbildung begriffen sind ( Art. 28 Abs. 1 und Art. 25 Abs. 2 AHVG ). Laut Art. 28 Abs. 3 AHVG ist der Bundesrat unter bestimmten Voraussetzungen befugt, die Pflegekinder den Adoptivkindern gleichzustellen. Der Bundesrat hat von dieser Befugnis in Art. 49 Abs. 1 AHVV Gebrauch gemacht, dessen erster Satz wie folgt lautet: "Pflegekinder haben beim Tode der Pflegeeltern Anspruch auf eine Waisenrente, wenn sie unentgeltlich zu dauernder Pflege und Erziehung BGE 104 V 193 S. 196 aufgenommen worden sind." b) Laut ständiger Rechtsprechung sind die Voraussetzungen der Unentgeltlichkeit der Pflege und Erziehung eines Pflegekindes erfüllt, wenn die von Dritten geleisteten Unterhaltsbeiträge nicht mehr als einen Viertel der tatsächlichen Unterhaltskosten ausmachen ( BGE 103 V 57 Erw. 1b mit Hinweisen). In diesem Urteil hat das Eidg. Versicherungsgericht zudem eine neue, einheitliche Methode zur Bemessung des Unterhaltsbedarfs von Kindern eingeführt und stützt sich auf die von HANS WINZELER in Zusammenarbeit mit dem Jugendamt des Kantons Zürich ermittelten und um einen Viertel reduzierten Ansätze (BGE BGE 103 V 57 Erw. 1b; HANS WINZELER, Die Bemessung der Unterhaltsbeiträge für Kinder, Diss. Zürich 1974; vgl. dazu auch ZAK 1978 S. 295 ff.). Massgebend zur Bestimmung des Unterhaltsbedarfs ist grundsätzlich der Zeitpunkt des Eintritts des Versicherungsfalles, wobei aber die voraussichtliche Entwicklung auf lange Sicht mit zu berücksichtigen ist ( BGE 103 V 58 Erw. 1c).</w:t>
      </w:r>
    </w:p>
    <w:p>
      <w:r>
        <w:rPr>
          <w:b/>
        </w:rPr>
        <w:t>E. 2</w:t>
      </w:r>
    </w:p>
    <w:p>
      <w:r>
        <w:t>a) Im vorliegenden Fall ist streitig, ob das zwischen Mario S. und seinen Grosseltern bestehende Pflegeverhältnis unentgeltlich sei. Verwaltung und Vorinstanz sind davon ausgegangen, dass bei der entsprechenden Berechnung auf den bisher von der Mutter von Mario S. tatsächlich erhältlich gemachten Beitrag von durchschnittlich Fr. 100.- im Monat abzustellen sei und nicht auf die von ihr und vom Kindsvater geschuldeten Unterhaltsbeiträge, welche im Zeitpunkt des Beginns der Invalidenrente von Eugen S. zusammen Fr. 290.- ausmachten. Es fragt sich mithin, ob die effektiv geleisteten bzw. tatsächlich realisierbaren oder die mit Dritten vereinbarten bzw. richterlich festgesetzten Unterhaltsbeiträge in Rechnung zu stellen sind. Auf Grund eines Beschlusses des Gesamtgerichts sind der Frage nach der Unentgeltlichkeit des Pflegeverhältnisses die effektiv geleisteten Unterhaltsbeiträge zugrunde zu legen. Insoweit ein höherer Unterhaltsbeitrag geschuldet ist, muss feststehen, dass der nicht bezahlte Teil des Beitrages objektiv nicht einbringlich ist. Die rechtlich geschuldeten Beiträge sind nur insoweit zu berücksichtigen, als die begründete Annahme besteht, dass sie in Zukunft tatsächlich bezahlt bzw. nachbezahlt werden. b) Mario S. war im Zeitpunkt der Entstehung der Invalidenrente seines Grossvaters (1. März 1975) knapp 15jährig. Gemäss BGE 104 V 193 S. 197 den in Erw. 1 erwähnten, auf den vorliegenden Fall anwendbaren Empfehlungen des Jugendamtes des Kantons Zürich belief sich der Unterhaltsbedarf eines 13- bis 16jährigen Einzelkindes damals auf Fr. 710.- (Landesindex der Konsumentenpreise, Stand Dezember 1975). Nach Herabsetzung um einen Viertel ergibt sich ein massgebender Ansatz von Fr. 533.- (vgl. ZAK 1978 S. 297). Laut den Angaben der Amtsvormundschaft konnte vom Kindsvater trotz Strafklage wegen Vernachlässigung von Unterstützungspflichten und Betreibungen letztmals am 2. Oktober 1974 Fr. 78.50 erhältlich gemacht werden; und von der Mutter seien im Durchschnitt Fr. 100.- monatlich eingegangen. Würde auf diese Angaben abgestellt, so würden die für Mario S. geleisteten Unterhaltsbeiträge weniger als einen Viertel seines Unterhaltsbedarfes ausmachen, weshalb das Pflegeverhältnis als unentgeltlich angesehen werden müsste und die entsprechenden Kinderrenten nicht zu Unrecht ausgerichtet worden wären. Indessen haben Verwaltung und Vorinstanz die Angaben der Amtsvormundschaft über die eingegangenen Unterhaltsbeiträge nicht überprüft. Zudem kann auf Grund der Akten die Frage nicht beantwortet werden, ob die begründete Aussicht besteht, dass in Zukunft trotz Ausnützung sämtlicher rechtlicher Möglichkeiten weder vom Kindsvater noch von der Mutter des Mario S. die geschuldeten Beiträge von zusammen Fr. 290.- monatlich erhältlich gemacht werden könnten. Die Ausgleichskasse, an welche die Sache zurückgewiesen wird, hat diese Abklärungen vorzunehmen und gestützt darauf über den Anspruch auf die Kinderrente sowohl der Invalidenversicherung als auch der AHV bzw. über eine eventuelle Rückforderung neu zu verfügen. Sie wird dabei zu beachten haben, dass entgegen der angefochtenen Verfügung vom 9. Juni 1976 eine allfällige Rückforderung auch die Monate März und April 1975 zu umfassen hätte. Dispositiv Demnach erkennt das Eidg. Versicherungsgericht: Die Verwaltungsgerichtsbeschwerde wird in dem Sinne gutgeheissen, dass der Entscheid des Versicherungsgerichts des Kantons St. Gallen vom 1. April 1977 sowie die angefochtene Kassenverfügung vom 9. Juni 1976 aufgehoben werden. Die Sache wird an die Ausgleichskasse des Kantons St. Gallen zurückgewiesen, damit sie im Sinne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