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178</w:t>
      </w:r>
    </w:p>
    <w:p>
      <w:r>
        <w:t>Bundesgericht (BGE), 1978-11-08, DE</w:t>
      </w:r>
    </w:p>
    <w:p>
      <w:r>
        <w:rPr>
          <w:b/>
        </w:rPr>
        <w:t xml:space="preserve">Quelle: </w:t>
      </w:r>
      <w:r>
        <w:t>https://mcp.opencaselaw.ch/entscheid/bge_BGE_104_V_178</w:t>
      </w:r>
    </w:p>
    <w:p>
      <w:r>
        <w:t>FR: ATF 104 V 178</w:t>
      </w:r>
    </w:p>
    <w:p>
      <w:r>
        <w:t>IT: DTF 104 V 178</w:t>
      </w:r>
    </w:p>
    <w:p>
      <w:pPr>
        <w:pStyle w:val="Heading2"/>
      </w:pPr>
      <w:r>
        <w:t>Regeste</w:t>
      </w:r>
    </w:p>
    <w:p>
      <w:r>
        <w:t>Regeste Art. 85 Abs. 2 lit. b AHVG. Anforderungen an die Beschwerdeschrift im erstinstanzlichen Beschwerdeverfahren.</w:t>
      </w:r>
    </w:p>
    <w:p>
      <w:r>
        <w:t>Regeste Art. 85 al. 2 lit. b LAVS. Mémoire de recours de première instance: exigences de forme.</w:t>
      </w:r>
    </w:p>
    <w:p>
      <w:r>
        <w:t>Regesto Art. 85 cpv. 2 lett. b LAVS. Memoria ricorsuale di prima istanza: esigenze di forma.</w:t>
      </w:r>
    </w:p>
    <w:p>
      <w:pPr>
        <w:pStyle w:val="Heading2"/>
      </w:pPr>
      <w:r>
        <w:t>Volltext</w:t>
      </w:r>
    </w:p>
    <w:p>
      <w:r>
        <w:t>Bundesgericht (BGE) Band V 1978 BGE 104 V 178 Tribunal fédéral (ATF) Volume V 1978 BGE 104 V 178 Tribunale federale (DTF) Volume V 1978 BGE 104 V 178</w:t>
      </w:r>
    </w:p>
    <w:p>
      <w:r>
        <w:t>Regeste Art. 85 Abs. 2 lit. b AHVG. Anforderungen an die Beschwerdeschrift im erstinstanzlichen Beschwerdeverfahren. Regeste Art. 85 al. 2 lit. b LAVS. Mémoire de recours de première instance: exigences de forme. Regesto Art. 85 cpv. 2 lett. b LAVS. Memoria ricorsuale di prima istanza: esigenze di forma.</w:t>
      </w:r>
    </w:p>
    <w:p>
      <w:r>
        <w:t>Urteilskopf 104 V 178 43. Auszug aus dem Urteil vom 8. November 1978 i.S. Lanza gegen Ausgleichskasse des Kantons Zürich und AHV-Rekurskommission des Kantons Zürich Regeste Art. 85 Abs. 2 lit. b AHVG . Anforderungen an die Beschwerdeschrift im erstinstanzlichen Beschwerdeverfahren. Erwägungen ab Seite 178 BGE 104 V 178 S. 178 Aus den Erwägungen: Nach Art. 108 Abs. 2 OG hat die Beschwerdeschrift unter anderem die Begehren und deren Begründung zu enthalten. Lassen die Begehren oder die Begründung die nötige Klarheit vermissen und stellt sich die Beschwerde nicht als offensichtlich unzulässig heraus, so ist dem Beschwerdeführer eine kurze Nachfrist zur Behebung des Mangels anzusetzen ( Art. 108 Abs. 3 OG ). Nach dieser Bestimmung ist eine Fristansetzung durch das Eidg. Versicherungsgericht ausgeschlossen, wenn die Beschwerde überhaupt keine Begehren oder Begründung enthält. Diese müssen - wenn auch nur summarisch - innerhalb der Frist von Art. 106 Abs. 1 OG eingereicht werden ( BGE 101 V 17 ). Auf das Verfahren vor erster Instanz sind nach Art. 69 IVG die Art. 84-86 AHVG sinngemäss anwendbar. Nach Art. 85 Abs. 2 lit. b AHVG muss die Beschwerde eine gedrängte Darstellung des Sachverhalts, ein Rechtsbegehren und eine kurze Begründung enthalten; wenn eine Beschwerde diesen BGE 104 V 178 S. 179 Anforderungen nicht genügt, hat die Rekursbehörde eine angemessene Frist zur Verbesserung anzusetzen mit der Androhung, dass sonst auf die Beschwerde nicht eingetreten werde. Im erstinstanzlichen Beschwerdeverfahren hat demnach die Fristansetzung zur Verbesserung der Beschwerde - im Gegensatz zum Verfahren nach Art. 108 OG - nicht nur bei Unklarheit des Begehrens oder der Begründung zu erfolgen, sondern ganz allgemein immer dann, wenn die Beschwerde den gesetzlichen Anforderungen nicht genügt. Es handelt sich um eine formelle Vorschrift, die den erstinstanzlichen Richter - ausser in Fällen von offensichtlichem Rechtsmissbrauch - verpflichtet, eine Frist zur Verbesserung der Mängel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