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131</w:t>
      </w:r>
    </w:p>
    <w:p>
      <w:r>
        <w:t>Bundesgericht (BGE), 1978-09-12, FR</w:t>
      </w:r>
    </w:p>
    <w:p>
      <w:r>
        <w:rPr>
          <w:b/>
        </w:rPr>
        <w:t xml:space="preserve">Quelle: </w:t>
      </w:r>
      <w:r>
        <w:t>https://mcp.opencaselaw.ch/entscheid/bge_BGE_104_V_131</w:t>
      </w:r>
    </w:p>
    <w:p>
      <w:r>
        <w:t>FR: ATF 104 V 131</w:t>
      </w:r>
    </w:p>
    <w:p>
      <w:r>
        <w:t>IT: DTF 104 V 131</w:t>
      </w:r>
    </w:p>
    <w:p>
      <w:pPr>
        <w:pStyle w:val="Heading2"/>
      </w:pPr>
      <w:r>
        <w:t>Regeste</w:t>
      </w:r>
    </w:p>
    <w:p>
      <w:r>
        <w:t>Regeste Art. 12, Art. 14 Abs. 1 und Art. 21 Abs. 1 IVG. - Zur Gewährung von Hilfsmitteln im Rahmen der medizinischen Eingliederungsmassnahmen. - Der Fahrstuhl, der nach einer von der Invalidenversicherung übernommenen intertrochanteren Osteotomie benötigt wird, gehört nicht zur versicherten Behandlung.</w:t>
      </w:r>
    </w:p>
    <w:p>
      <w:r>
        <w:t>Regeste Art. 12, art. 14 al. 1 et art. 21 al. 1 LAI. - De l'octroi de moyens auxiliaires dans le cadre des mesures médicales de réadaptation. - Un fauteuil roulant utilisé après une ostéotomie intertrochantérienne prise en charge par l'assurance-invalidité ne relève pas du traitement assuré.</w:t>
      </w:r>
    </w:p>
    <w:p>
      <w:r>
        <w:t>Regesto Art. 12, art. 14 cpv. 1 e art. 21 cpv. 1 LAI. - Dell'assegnazione di mezzi ausiliari nell'ambito dei provvedimenti sanitari d'integrazione. - Una sedia a rotelle, usata dopo un'osteotomia intertrocanterica assunta dall'assicurazione-invalidità, non fa parte della cura assicurata.</w:t>
      </w:r>
    </w:p>
    <w:p>
      <w:pPr>
        <w:pStyle w:val="Heading2"/>
      </w:pPr>
      <w:r>
        <w:t>Erwägungen</w:t>
      </w:r>
    </w:p>
    <w:p>
      <w:r>
        <w:rPr>
          <w:b/>
        </w:rPr>
        <w:t>E. 1</w:t>
      </w:r>
    </w:p>
    <w:p>
      <w:r>
        <w:t>Selon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L'art. 14 al. 1 RAI, en vigueur jusqu'à fin 1976, mentionne dans cette liste notamment les "cannes, béquilles, cannes-béquilles" (lettre f) et les "fauteuils roulants" (lettre g). L'OMA du 29 novembre 1976, en vigueur depuis le 1er janvier 1977, mentionne pour sa part les "cannes-béquilles, déambulateurs et supports ambulatoires" (ch. 12), ainsi que les "fauteuils roulants" (ch. 9). Mais l'octroi de moyens auxiliaires est une mesure de réadaptation et, pour y avoir droit, l'assuré doit donc satisfaire aux conditions générales d'obtention de telles mesures. Il doit par conséquent être "invalide ou menacé d'une invalidité imminente", ainsi que l'exige l'art. 8 al. 1 LAI. Or l'art. 4 LAI définit l'invalidité comme étant la diminution de la capacité de gain "présumée permanente ou de longue durée". C'est dire qu'un BGE 104 V 131 S. 133 handicap passager, consécutif par exemple à un accident ou à une opération précisément, ne peut ouvrir droit à l'octroi d'un moyen auxiliaire (arrêt non publié Fahrni du 18 avril 1972). Dans l'espèce, lors de l'usage du fauteuil roulant, l'assuré était en convalescence après l'opération subie. Il est manifeste que l'on se trouvait ainsi en présence non d'un état stabilisé mais d'un handicap passager; et on ne pouvait donc parler d'invalidité au sens de la loi, ce qui excluait l'octroi de moyens auxiliaires.</w:t>
      </w:r>
    </w:p>
    <w:p>
      <w:r>
        <w:rPr>
          <w:b/>
        </w:rPr>
        <w:t>E. 2</w:t>
      </w:r>
    </w:p>
    <w:p>
      <w:r>
        <w:t>La question litigieuse doit cependant être examinée sous un autre angle, qui est celui du traitement. L'assurance-invalidité a en effet pris à sa charge l'opération de la hanche gauche, à titre de mesure médicale selon l'art. 12 LAI. L'usage d'un fauteuil roulant fait-il ou non partie du traitement ainsi assumé? a) Aux termes de l'art. 14 al. 1 LAI, les mesures médicales comprennent le traitement entrepris dans un établissement hospitalier ou à domicile par le médecin ou, sur ses prescriptions, par le personnel paramédical, ainsi que les médicaments ordonnés par le médecin. Pris littéralement, ces termes pourraient laisser entendre que le traitement ne comprend que les actes médicaux proprement dits. Et l'Office fédéral des assurances sociales relève dans sa réponse que, en refusant de payer les frais de location d'un fauteuil roulant, la commission de l'assurance-invalidité n'a fait que reprendre une définition stricte de la notion de mesures médicales; il se réfère aux normes que connaît l'assurance-maladie, déclare applicables par analogie les art. 20 ss Ord. III et paraît vouloir ne retenir comme mesures médicales que les mesures diagnostiques ou thérapeutiques appliquées par le médecin et le personnel paramédical. Pareille définition n'est toutefois guère de mise dans l'assurance-invalidité où, tant selon les textes que d'après la pratique administrative, la notion de mesures médicales déborde quelque peu le cadre étroit des prestations obligatoires selon la LAMA (dont aucune disposition de la LAI ne déclare d'ailleurs les normes applicables, même par analogie). D'une part, en effet, l'art. 2 al. 1 RAI considère comme mesures médicales "notamment" les actes chirurgicaux, physiothérapeutiques et psychothérapeutiques; et, si l'art. 14 al. 1 RAI en vigueur jusqu'à fin 1976 ne se référait formellement qu'au seul art. 21 BGE 104 V 131 S. 134 al. 1 LAI, le nouvel art. 1er al. 2 OMA, en vigueur depuis le 1er janvier 1977, prévoit expressément une application par analogie de ses règles "à la remise de moyens de traitement qui font nécessairement partie d'une mesure médicale de réadaptation au sens des art. 12 et 13 LAI". D'autre part, la pratique administrative (que l'art. 1er al. 2 OMA ne fait au fond que codifier) a toujours admis la remise de tels moyens dans le cadre des mesures médicales; preuve en soit précisément la remise en prêt de cannes après les opérations de la coxarthrose assumées par l'assurance-invalidité, prêt accordé en l'espèce également. b) Le problème à résoudre est si, à l'instar des cannes-béquilles, un fauteuil roulant peut être considéré comme un moyen thérapeutique faisant nécessairement partie du traitement pris en charge par l'assurance-invalidité. Après une ostéotomie intertrochantérienne de varisation de la hanche, le patient doit éviter plusieurs semaines ou mois durant de trop charger le membre opéré. Les cannes-béquilles procurent la décharge indispensable, tout en donnant au convalescent la possibilité de se déplacer. Vu sous cet angle, un fauteuil roulant offre certes une faculté de déplacement comparable, ainsi que l'allègue le recourant. Mais ce point de vue n'est aucunement déterminant. Ce n'est en effet pas la possibilité de se déplacer en tant que telle qui motive et justifie l'octroi de cannes dans le cadre des mesures médicales de réadaptation. La remise de cannes-béquilles tend aussi à permettre et hâter la rééducation à la marche; seule cette rééducation, qui fait partie encore du traitement, motive et justifie pareille remise. Or le fauteuil roulant, simple moyen de déplacement, ne contribue en rien à la rééducation et ne relève pas du traitement; il ne saurait donc être remis dans le cadre des mesures médicales de réadaptation. Le recourant note que, sans fauteuil roulant, il aurait dû rester plusieurs semaines encore à l'hôpital, ce qui eût engendré des frais supérieurs. Mais il relève lui-même, à raison, que cet élément n'a pas de poids sur le plan juridique. Même s'il était avéré que la location d'un fauteuil roulant a réduit les frais, ce fait ne pourrait suppléer le défaut de dispositions légales...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