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301 vom 12. Juli 1978</w:t>
      </w:r>
    </w:p>
    <w:p>
      <w:r>
        <w:t>Bundesgericht (BGE), 1978-07-12, DE</w:t>
      </w:r>
    </w:p>
    <w:p>
      <w:r>
        <w:rPr>
          <w:b/>
        </w:rPr>
        <w:t xml:space="preserve">Quelle: </w:t>
      </w:r>
      <w:r>
        <w:t>https://mcp.opencaselaw.ch/entscheid/bge_BGE_104_Ib_301</w:t>
      </w:r>
    </w:p>
    <w:p>
      <w:r>
        <w:t>FR: BGE BGE 104 Ib 301 du 12 juillet 1978</w:t>
      </w:r>
    </w:p>
    <w:p>
      <w:r>
        <w:t>IT: BGE BGE 104 Ib 301 del 12 luglio 1978</w:t>
      </w:r>
    </w:p>
    <w:p>
      <w:pPr>
        <w:pStyle w:val="Heading2"/>
      </w:pPr>
      <w:r>
        <w:t>Regeste</w:t>
      </w:r>
    </w:p>
    <w:p>
      <w:r>
        <w:t>Regeste Gewässerschutz; Abbruchbefehl. Ist die Rechtmässigkeit einer Baute im Hinblick auf einen Abbruchbefehl zu prüfen, findet grundsätzlich nicht das zur Zeit der Entscheidung gültige Recht Anwendung, sondern dasjenige, das während des Baus oder Umbaus in Kraft war; Ausnahmen von dieser Regel.</w:t>
      </w:r>
    </w:p>
    <w:p>
      <w:r>
        <w:t>Regeste Protection des eaux; ordre de démolition. Lorsqu'il s'agit d'examiner si un bâtiment doit être démoli, la question de sa conformité au droit s'apprécie en principe selon le droit en vigueur non pas au moment où la décision de démolition est prise, mais au moment où la construction ou la transformation s'est faite; exceptions à la règle.</w:t>
      </w:r>
    </w:p>
    <w:p>
      <w:r>
        <w:t>Regesto Protezione delle acque; ordine di demolizione. Per accertare, ai fini di un eventuale ordine di demolizione, se una costruzione sia conforme alla legge, è determinante, in linea di principio, non il diritto vigente al momento della decisione, bensì quello vigente al momento in cui la costruzione o la trasformazione ha avuto luogo; eccezioni a tale regola.</w:t>
      </w:r>
    </w:p>
    <w:p>
      <w:pPr>
        <w:pStyle w:val="Heading2"/>
      </w:pPr>
      <w:r>
        <w:t>Erwägungen</w:t>
      </w:r>
    </w:p>
    <w:p>
      <w:r>
        <w:rPr>
          <w:b/>
        </w:rPr>
        <w:t>E. 4</w:t>
      </w:r>
    </w:p>
    <w:p>
      <w:r>
        <w:t>(Das Bundesgericht führt aus, der Regierungsrat habe die nachträgliche Baubewilligung zu Recht nicht erteilt. Es erachtet die Beschwerde als unbegründet, soweit sie sich gegen diesen Teil des angefochtenen Entscheides richtet.)</w:t>
      </w:r>
    </w:p>
    <w:p>
      <w:r>
        <w:rPr>
          <w:b/>
        </w:rPr>
        <w:t>E. 5</w:t>
      </w:r>
    </w:p>
    <w:p>
      <w:r>
        <w:t>a) Der Beschluss des Regierungsrates weist den Beschwerdeführer im übrigen an, den ursprünglichen Zustand der Scheune, mit einer Ausnahme, wiederherzustellen und dementsprechend die neugeschaffenen Bauteile zu beseitigen. Die Beschwerde richtet sich zur Hauptsache gegen diese Anordnung, hat sie doch zur Folge, dass der grösste Teil der Aufwendungen für den Umbau verloren geht. b) Kann eine Baute oder ein Umbau nach den Bestimmungen der Gewässerschutzgesetzgebung nicht bewilligt werden, weil sie materiell gesetzwidrig ist, hat das noch nicht zur Folge, dass sie abgebrochen oder im Falle eines Umbaus der frühere Zustand wiederhergestellt werden muss. Es sind dabei vielmehr die allgemeinen verfassungs- und verwaltungsrechtlichen Prinzipien des Bundesrechts zu berücksichtigen. Zu ihnen gehören die Grundsätze der Verhältnismässigkeit und des Schutzes des guten Glaubens ( BGE 102 Ib 67 ).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c) Der Umbau, den der Beschwerdeführer ohne Bewilligung vorgenommen hat, stellt nach dem GSchG 1971 nicht eine bloss unbedeutende Abweichung vom Erlaubten dar, sondern ist nach diesem Recht ausgesprochen gesetzwidrig. Ist die materielle Rechtmässigkeit einer Baute jedoch im Hinblick auf einen BGE 104 Ib 301 S. 304 Abbruchbefehl zu prüfen, findet nach der Rechtsprechung des Bundesgerichts nicht das zur Zeit der Entscheidung gültige Recht Anwendung, sondern dasjenige, das während des Baus oder Umbaus in Kraft war. Auf das in der Zwischenzeit geänderte Recht ist nur dann abzustellen, wenn dieses für den Eigentümer der Baute günstiger ist ( BGE 102 Ib 69 E. 4, Urteil vom 26. März 1975 in Sachen Ganz, ZBl 76, S. 518 E. 5a; im gleichen Sinne IMBODEN/RHINOW, Schweizerische Verwaltungsrechtsprechung, 5. Auflage, Bd. I, Nr. 16, III c; ZIMMERLI, Der Grundsatz der Verhältnismässigkeit im öffentlichen Recht, ZSR 97 II, S. 105; ebenso das deutsche Bundesverwaltungsgericht, BVerwGE 19, S. 162 und 3, S. 353 f.; a.M. ZIMMERLIN, ZSR 88 I, S. 447 Ziff. 3; SCHEERBARTH, Das allgemeine Bauordnungsrecht, 2. Aufl., S. 434). Für die gegenteilige Auffassung, wonach die Frage der materiellen Rechtmässigkeit einer ohne Bewilligung erstellten Baute immer aufgrund des zur Zeit der Entscheidung gültigen Rechts zu beurteilen sei, wurde unter anderem vorgebracht, ein Bauherr, der keine Bewilligung einhole, aber nach altem Recht materiell rechtmässig baue, dürfe bei einer bald darauf erfolgenden Rechtsänderung nicht besser gestellt werden, als ein Bauherr, der um eine Bewilligung nachsuche, sie aber vor Inkrafttreten des neuen, strengeren Rechts nicht mehr erhalte. Für die Beibehaltung der bisherigen Praxis spricht jedoch das Argument, dass es mit dem Gebot der Verhältnismässigkeit kaum vereinbar wäre, wenn aufgrund eines nachträglich verschärften Rechts eine Baute abgebrochen werden müsste, die zur Zeit, als sie erstellt wurde, zwar nicht bewilligt war, aber materiell den Bauvorschriften entsprach. Darum ist an der bisherigen Rechtsprechung grundsätzlich festzuhalten. Eine Ausnahme ist aber vorzusehen für den Fall, dass der Bauherr die Bewilligung nicht einholt, weil er weiss, dass vor der Erteilung der Bewilligung neues strengeres Recht in Kraft stehen wird. Ein solches Verhalten wäre in hohem Masse missbräuchlich und könnte keinen Rechtsschutz verdienen; es zu billigen, würde zu einer rechtsungleichen Behandlung aller Gesuchsteller führen, die den gesetzlich vorgeschriebenen Weg eingehalten haben. Die letztere Einschränkung ist im zu beurteilenden Zusammenhang bedeutungslos. Es kann nicht angenommen werden, der Beschwerdeführer habe, als er 1969 mit dem Umbau begann, BGE 104 Ib 301 S. 305 bereits von der wesentlichen Einschränkung, die das revidierte GSchG für das Bauen und Umbauen ausserhalb des Baugebietes, bzw. des GKP brachte, Kenntnis gehabt hat, und er habe im Hinblick darauf absichtlich das Baugesuch nicht rechtzeitig gestellt. d) Es ist somit zu prüfen, ob der Umbau des Beschwerdeführers nach den Bestimmungen des Gewässerschutzgesetzes vom 16. März 1955 (AS 1956, S. 1533) materiell unzulässig war. Dabei ist davon auszugehen, dass der Umbau bis Ende Mai 1970 praktisch zu Ende geführt war. Anders als Art. 19 und 20 GSchG 1971 verfolgte das GSchG 1955 keine raumplanerischen Ziele. Es verpflichtete die vollziehenden Behörden allgemein, im einzelnen Fall das zum Schutze der Gewässer gegen Verunreinigung Erforderliche anzuordnen. Sie hatten sowohl künftige Verunreinigungen zu verhindern als auch bestehende Missstände zu beseitigen ( BGE 90 I 200 E. 5). Auf die kantonalen und kommunalen Bauplanungen nahm es unmittelbar keinen Einfluss. Eine Baubewilligung ausserhalb der Bauzonen oder des generellen Kanalisationsprojektes konnte in Anwendung von Bundesrecht nur verweigert werden, wenn eine gesetzmässige Abwasserbeseitigung nicht möglich war ( BGE 94 I 495 E. 4, BGE 96 I 761 E. 3). Eine Art. 20 des geltenden GSchG entsprechende Beschränkung der Baufreiheit konnte nur durch kantonales Recht eingeführt werden. e) Der Regierungsrat hat die Beschwerde gegen den Abbruchbefehl einzig gestützt auf die Bestimmungen von Art. 20 GSchG und Art. 27 AGSchV abgewiesen. Er hat deshalb Bundesrecht verletzt, indem er den Abbruchbefehl auf bundesrechtliche Bestimmungen gestützt hat, die im konkreten Fall nicht anzuwenden sind. Die Beschwerde ist, soweit sie sich gegen den Abbruchbefehl richtet, grundsätzlich gutzuheissen. Das bedeutet aber nicht, dass der Abbruch überhaupt nicht angeordnet werden könnte. Er ist zulässig, sofern keine befriedigende Regelung der Abwasserbeseitigung gefunden werden kann, denn dann hätte auch nach altem Recht die Bewilligung verweigert werden müssen. Die Lösung der Abwasserfrage muss aber, soweit sie nicht schon erfolgt ist, nunmehr nach den Vorschriften des GSchG 1971 und die gestützt darauf ergangenen Verordnungen getroffen werden. Es wäre nicht angängig, eine Abwasserbeseitigung zu gestatten, die den geltenden Vorschriften nicht genügt. BGE 104 Ib 301 S. 306 Es kann beigefügt werden, dass die Beseitigung des Umbaus auch angeordnet werden könnte, wenn dieser in Verletzung von materiellen Vorschriften des kantonalen oder kommunalen Baurechts erfolgt ist, wie der Gemeinderat Wald und der Bezirksrat Hinwil seinerzeit angenommen haben. Zu dieser Frage hat das Bundesgericht im vorliegenden Verfahren jedoch nicht Stellung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