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280 vom 13. Oktober 1965</w:t>
      </w:r>
    </w:p>
    <w:p>
      <w:r>
        <w:t>Bundesgericht (BGE), 1965-10-13, IT</w:t>
      </w:r>
    </w:p>
    <w:p>
      <w:r>
        <w:rPr>
          <w:b/>
        </w:rPr>
        <w:t xml:space="preserve">Quelle: </w:t>
      </w:r>
      <w:r>
        <w:t>https://mcp.opencaselaw.ch/entscheid/bge_BGE_104_Ib_280</w:t>
      </w:r>
    </w:p>
    <w:p>
      <w:r>
        <w:t>FR: BGE BGE 104 Ib 280 du 13 octobre 1965</w:t>
      </w:r>
    </w:p>
    <w:p>
      <w:r>
        <w:t>IT: BGE BGE 104 Ib 280 del 13 ottobre 1965</w:t>
      </w:r>
    </w:p>
    <w:p>
      <w:pPr>
        <w:pStyle w:val="Heading2"/>
      </w:pPr>
      <w:r>
        <w:t>Regeste</w:t>
      </w:r>
    </w:p>
    <w:p>
      <w:r>
        <w:t>Regeste BG vom 13. Oktober 1965 über die Verrechnungssteuer (VStG). 1. Begriff der Bank und der inländischen juristischen Person im Sinne von Art. 9 Abs. 1 und Abs. 2 VStG (E. 4). 2. Übergang der dem Steuerpflichtigen zustehenden Rückgriffsansprüche auf den Bund (Art. 46 Abs. 1 VStG); Sachlage im konkreten Fall und zusätzliche Anwendbarkeit des Art. 12 VStrR (E. 5 und 6). 3. Sicherstellung gemäss Art. 47 VStG: Begriff der "Steuer" im Sinne dieser Bestimmung und Voraussetzungen, die eine solche Sicherstellung erlauben (E. 7).</w:t>
      </w:r>
    </w:p>
    <w:p>
      <w:r>
        <w:t>Regeste Loi fédérale sur l'impôt anticipé du 13 octobre 1965 (LIA). 1. Notion de banque et de personne juridique domiciliée en Suisse au sens de l'art. 9 al. 1 et al. 2 LIA (consid. 4). 2. Transfert à la Confédération des droits de recours appartenant au contribuable (art. 46 al. 1 LIA); situation dans le cas concret et application complémentaire de l'art. 12 DPA (consid. 5 et 6). 3. Demande de sûretés selon l'art. 47 LIA: notion "d'impôt" au sens de cette disposition et conditions auxquelles la constitution de telles garanties peut être ordonnée (consid. 7).</w:t>
      </w:r>
    </w:p>
    <w:p>
      <w:r>
        <w:t>Regesto Legge federale sull'imposta preventiva del 13 ottobre 1965 (LIP). 1. Nozione di banca e di persona giuridica domiciliata in Svizzera ai sensi dell'art. 9 cpv. 1 e cpv. 2 LIP (consid. 4). 2. Trasferimento alla Confederazione dei diritti di regresso spettanti al contribuente (art. 46 cpv. 1 LIP); situazione nel caso concreto e applicabilità complementare dell'art. 12 DPA (consid. 5 et 6). 3. Richiesta di garanzie giusta l'art. 47 LIP: nozione di "imposta" ai sensi di codesta norma e condizioni alle quali la costituzione di tali garanzie può esser ordinata (consid. 7).</w:t>
      </w:r>
    </w:p>
    <w:p>
      <w:pPr>
        <w:pStyle w:val="Heading2"/>
      </w:pPr>
      <w:r>
        <w:t>Erwägungen</w:t>
      </w:r>
    </w:p>
    <w:p>
      <w:r>
        <w:rPr>
          <w:b/>
        </w:rPr>
        <w:t>E. 3</w:t>
      </w:r>
    </w:p>
    <w:p>
      <w:r>
        <w:t>Nell'atto ricorsuale, si legge altresì che l'imposta preventiva oggi richiesta è sicuramente già stata pagata a suo tempo dalla Banca B. o dalla stessa FVA. Anche questa pretesa BGE 104 Ib 280 S. 283 è tuttavia manifestamente insostenibile, già per il fatto che il sistema scelto dall'Anstalt mirava direttamente alla sottrazione dell'imposta, cosi come risulta dalle assicurazioni che i funzionari della B. rilasciavano agli interessati prima che questi effettuassero eventuali investimenti. D'altro canto, anche il tasso d'interesse promesso non autorizzava a supporre che la FVA potesse addirittura pagare l'imposta senza dedurla dagli interessi versati, ed anche il ricorrente (peraltro a ragione) non invoca argomenti di questo tipo, né pretende d'aver creduto a un modo di pagamento che non implicasse traslazione alcuna.</w:t>
      </w:r>
    </w:p>
    <w:p>
      <w:r>
        <w:rPr>
          <w:b/>
        </w:rPr>
        <w:t>E. 4</w:t>
      </w:r>
    </w:p>
    <w:p>
      <w:r>
        <w:t>Giusta l'art. 4 cpv. 1 lett. d LIP, l'imposta preventiva ha per oggetto gli interessi (ed altri redditi) da averi di clienti presso banche e casse di risparmio svizzere. L'obbligazione fiscale spetta dunque alla banca o alla cassa di risparmio (art. 10 cpv. 1 LIP). a) A mente dell'art. 9 cpv. 1, 2a frase della stessa legge, sono considerate domiciliate in Svizzera ai sensi dell'art. 4 anche le persone giuridiche o le società commerciali senza personalità, la cui sede statutaria si trova all'estero, ma che di fatto hanno la direzione e svolgono un'attività in Svizzera. Orbene, come accertato dall'AFC, nel Principato del Liechtenstein, l'Anstalt aveva una semplice sede statutaria, mentre la direzione effettiva era assicurata in Svizzera ove possedeva uffici propri (presso la C. S.A.) ed esercitava una vera e propria attività commerciale. Ai fini della riscossione dell'imposta preventiva, la FVA deve quindi esser considerata svizzera (o domiciliata in Svizzera) giusta l'art. 9 cpv. 1, 2a frase LIP. b) In virtù dell'art. 9 cpv. 2, la frase LIP, si considera banca o cassa risparmio chiunque offre pubblicamente di accettare denari fruttiferi o accetta in modo continuo denari dietro interesse. È pacifico quindi che l'accettazione pianificata e continua di somme di denaro per un ammontare complessivo di 240 milioni di franchi in 12 anni rientra chiaramente nell'ambito di questa norma. Se si guarda poi alla collaborazione messa in atto dalla FVA con la Banca B. onde contattare i futuri clienti, l'indole bancaria della sua attività s'avvera persino manifesta, anche se, per ovvi motivi, detta attività non era riconoscibile come tale da chicchessia (la FVA, infatti, non aveva aperto sportelli al pubblico, né era apparsa quale conduttrice dei locali appigionati). In queste circostanze, ed in mancanza di qualsiasi allegazione che potrebbe eventualmente infirmare gli accertamenti BGE 104 Ib 280 S. 284 dell'autorità federale, è giocoforza concludere che la FVA era soggetta all'imposta preventiva per gli interessi maturati sugli averi dei clienti, giusta l'art. 4 cpv. 1 lett. d LIP.</w:t>
      </w:r>
    </w:p>
    <w:p>
      <w:r>
        <w:rPr>
          <w:b/>
        </w:rPr>
        <w:t>E. 5</w:t>
      </w:r>
    </w:p>
    <w:p>
      <w:r>
        <w:t>Il soggetto fiscale, ovvero il debitore della prestazione imponibile (art. 10 LIP), è tenuto ad addossare (trasferire) l'imposta (traslazione, Überwälzung) al beneficiario di codesta prestazione in virtù dell'art. 14 LIP; l'imposta preventiva va infatti dedotta all'atto del pagamento, della girata, dell'accreditamento o del computo della prestazione imponibile, senza riguardo alla persona del beneficiario. Se il contribuente non ha però provveduto a soddisfare tale obbligo, ed è dichiarato fallito, o se, in una esecuzione promossa nei suoi confronti, è chiesto il pignoramento, i diritti di regresso che gli competono passano alla Confederazione, sino a concorrenza dell'imposta non ancora pagata (art. 46 cpv. 1 LIP). Nel caso in esame, è pacifico e d'altronde palese che la FVA, quale contribuente, non ha dedotto l'imposta preventiva dagli interessi maturati sugli averi dei suoi clienti e, con ciò, non ha quindi soddisfatto all'obbligo di traslazione impostole dalla legge. Tuttavia, nel momento in cui l'AFC ha fatto valere le sue pretese giusta l'art. 46 cpv. 1 LIP direttamente presso i clienti della banca (2 maggio 1977), mancava ancora la dichiarazione di fallimento; quest'ultimo infatti è stato aperto soltanto il 25 maggio successivo, cosicché solo a questo punto le due condizioni poste dall'art. 46 cpv. 1 LIP erano pacificamente adempiute. Ai fini del giudizio, questa circostanza non è però determinante: in effetti, anche se l'autorità federale ha fatto valere i diritti di regresso nei confronti dei beneficiari con un certo anticipo, non v'è motivo alcuno per annullare le relative decisioni del 2 maggio, dappoiché tali diritti sono effettivamente passati alla Confederazione il 25 maggio successivo. Può cosi rimanere indecisa la questione di sapere se, interpretando estensivamente l'art. 46 cpv. 1 LIP, l'apertura di una procedura di concordato (quale forma speciale ed attenuata dell'esecuzione forzata) già possa consentire alla Confederazione di prevalersi dei diritti di regresso che normalmente competono al soggetto fiscale (cfr. PFUND/SALZGEBER/STOCKAR, Die Praxis der Bundessteuern, II Teil: Stempelabgaben und Verrechnungssteuer, vol. I, ad art. 46 cpv. 1 LIP, n. 5). Parimenti ininfluente per l'applicazione dell'art. 46 cpv. 1 LIP è altresì il fatto che la FVA abbia sede statutaria all'estero, BGE 104 Ib 280 S. 285 per cui il fallimento non è stato aperto in Svizzera, ma nel Principato del Liechtenstein. È palese, infatti, che il trasferimento dei diritti di regresso di cui alla norma testé citata debba potersi perfezionare anche se la fallita è una persona giuridica con sede statutaria all'estero giusta l'art. 9 cpv. 1, 2a frase LIP. Ne discende che i diritti di regresso spettanti alla FVA quale contribuente sono ormai passati alla Confederazione, per cui l'AFC era senz'altro legittimata a far valere codesti diritti nei confronti dei clienti della banca, ovvero dei singoli beneficiari delle prestazioni imponibili.</w:t>
      </w:r>
    </w:p>
    <w:p>
      <w:r>
        <w:rPr>
          <w:b/>
        </w:rPr>
        <w:t>E. 6</w:t>
      </w:r>
    </w:p>
    <w:p>
      <w:r>
        <w:t>A mente dell'autorità federale, le pretese fatte valere nel concreto caso potrebbero fondarsi non solo sull'art. 46 cpv. 1 LIP, ma anche sull'art. 12 cpv. 1 e 2 DPA. Secondo questa disposizione, infatti, se una tassa non è stata riscossa a torto per effetto di un'infrazione alla legislazione amministrativa della Confederazione, essa deve comunque esser pagata indipendentemente dalla punibilità di una data persona (cpv. 1). Obbligata al pagamento è la persona che ha fruito dell'indebito profitto (cpv. 2). L'opinione dell'AFC s'avvera senz'altro esatta. In effetti, se il contribuente di cui all'art. 10 cpv. 1 LIP non assolve il debito fiscale e non soddisfa quindi all'obbligo di traslazione, ma fornisce la prestazione imponibile senza deduzione alcuna, il beneficiario di codesta prestazione gode ovviamente d'un indebito profitto: detto beneficiario, ovvero il cliente della banca, deve quindi pagare l'imposta alla Confederazione anche in virtù dell'art. 12 cpv. 1 e 2 DPA.</w:t>
      </w:r>
    </w:p>
    <w:p>
      <w:r>
        <w:rPr>
          <w:b/>
        </w:rPr>
        <w:t>E. 7</w:t>
      </w:r>
    </w:p>
    <w:p>
      <w:r>
        <w:t>Giusta l'art. 47 cpv. 1 LIP, l'AFC può esigere garanzie per le imposte, gli interessi e le spese, anche se non siano ancora determinati con decisione passata in giudicato né scaduti, quando l'esazione appare in pericolo (lett. a), quando il debitore dell'imposta non ha domicilio in Svizzera o si appresta ad abbandonare il domicilio in Svizzera o prende disposizioni per farsi radiare dal registro di commercio (lett. b) e, infine, quando detto debitore è in mora con il pagamento o lo è stato a più riprese (lett. c). a) Anche se la cennata disposizione contempla unicamente la nozione di "imposta", mentre le pretese che la Confederazione può far valere nei confronti dei beneficiari sono designate all'art. 46 quali "diritti di regresso", non v'è ragione alcuna per eventualmente pretendere che la costituzione di garanzie possa esser ordinata soltanto al debitore primario dell'imposta e non BGE 104 Ib 280 S. 286 altresì al beneficiario della prestazione imponibile cui l'imposta stessa, se non pagata né addossata, può esser direttamente richiesta in virtù degli art. 12 DPA e 46 cpv. 1 LIP. Il concetto d'"imposta", infatti, deve qui esser recepito in senso esteso, siccome designante qualsiasi pretesa dello Stato nel campo dell'esazione tributaria, e ciò anche se detta pretesa non è avanzata nei confronti del contribuente, ma è fatta valere - in forma di diritto di regresso - nei confronti del beneficiario della prestazione imponibile cui l'imposta stessa non è stata previamente addossata. Un'interpretazione più restrittiva dell'art. 47 LIP, che vorrebbe limitare la possibilità di chiedere garanzie unicamente per salvaguardare l'adempimento dell'obbligazione fiscale, escludendo invece l'esercizio dei diritti di regresso sarebbe infatti contraria alla ratio legis della norma e s'avvererebbe poi ancor meno accettabile se si pensa che la cennata richiesta tende a garantire una pretesa inerente all'imposta sottratta che compete pacificamente alla Confederazione giusta gli art. 46 cpv. 1 LIP e/o 12 DPA. b) Per quanto concerne le condizioni poste dall'art. 47 cpv. 1 lett. a, b e c, giova poi costatare che le stesse sono incontestabilmente alternative: l'adempimento dell'una autorizza quindi l'AFC ad "esigere garanzie per le imposte, gli interessi e le spese, anche se non siano ancora determinati con decisione passata in giudicato, né scaduti". Nel concreto caso, il ricorrente non ha domicilio in Svizzera, bensì a Busto Arsizio in Italia: a non averne dubbi, la sua situazione è quindi retta dall'art. 47 cpv. 1 lett. b LIP.</w:t>
      </w:r>
    </w:p>
    <w:p>
      <w:r>
        <w:rPr>
          <w:b/>
        </w:rPr>
        <w:t>E. 8</w:t>
      </w:r>
    </w:p>
    <w:p>
      <w:r>
        <w:t>Con contratto 30 marzo 1977, il ricorrente (come d'altronde altri clienti della Banca B.) ha ceduto i suoi diritti ed i suoi crediti nei confronti della stessa Banca, della FVA e della F. S.A. alla E., società anonima con sede a Glarona ove il dott. Y. è amministratore unico con firma individuale. Tuttavia, detta cessione è stata operata a titolo fiduciario poiché la cessionaria avrebbe dovuto agire in pratica quale "rappresentante" del cedente; dal relativo contratto prodotto col gravame, si desume infatti che la E. AG s'era impegnata a riversare al cedente l'intero ricavo che sarebbe stato "distribuito o ottenuto dalle procedure contro i debitori, dedotte le spese". Ai fini del giudizio, l'avvenuta cessione di diritti e crediti è tuttavia ininfluente; in effetti, l'imposta preventiva dovuta sugli interessi bonificati o corrisposti prima della cennata cessione BGE 104 Ib 280 S. 287 deve comunque esser pagata dai beneficiari di codesti interessi, ovvero dai cedenti già titolari dei conti in rassegna, e non dalla cessionaria cui i diritti su tali conti sono stati ceduti soltanto in seguito. È pacifico, quindi, che la cessione fiduciaria operata dal ricorrente e da altri clienti della Banca B. a favore della E. AG non può neppure influire sull'obbligo di prestare garanzie "per le imposte, gli interessi e le spese" sancito dall'art. 47 cpv. 1 LIP.</w:t>
      </w:r>
    </w:p>
    <w:p>
      <w:r>
        <w:rPr>
          <w:b/>
        </w:rPr>
        <w:t>E. 9</w:t>
      </w:r>
    </w:p>
    <w:p>
      <w:r>
        <w:t>Per le considerazioni che precedono, l'impugnata richiesta di garanzie appare giustificata e conforme alle prescrizioni determinanti del diritto federale, cosicché il ricorso, chiaramente infondato, dev'essere respinto. Ciò non pregiudica, tuttavia, le questioni relative all'esistenza e all'estensione del credito fiscale che, nell'ambito di questa procedura, a sé stante e di natura cautelare, non devono esser definitivamente risolte (cfr. ASA 45, pag. 40 segg. e riferimenti).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