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257 vom 1. Januar 1978</w:t>
      </w:r>
    </w:p>
    <w:p>
      <w:r>
        <w:t>Bundesgericht (BGE), 1978-01-01, DE</w:t>
      </w:r>
    </w:p>
    <w:p>
      <w:r>
        <w:rPr>
          <w:b/>
        </w:rPr>
        <w:t xml:space="preserve">Quelle: </w:t>
      </w:r>
      <w:r>
        <w:t>https://mcp.opencaselaw.ch/entscheid/bge_BGE_104_Ib_257</w:t>
      </w:r>
    </w:p>
    <w:p>
      <w:r>
        <w:t>FR: BGE BGE 104 Ib 257 du 1 janvier 1978</w:t>
      </w:r>
    </w:p>
    <w:p>
      <w:r>
        <w:t>IT: BGE BGE 104 Ib 257 del 1 gennaio 1978</w:t>
      </w:r>
    </w:p>
    <w:p>
      <w:pPr>
        <w:pStyle w:val="Heading2"/>
      </w:pPr>
      <w:r>
        <w:t>Regeste</w:t>
      </w:r>
    </w:p>
    <w:p>
      <w:r>
        <w:t>Regeste Grundbuch; Löschung einer Grundpfandverschreibung. Das Vorliegen einer Urkunde, in der festgehalten wird, dass die Person, zu deren Gunsten das Pfandrecht errichtet worden war, gestorben sei und als einzigen Erben den Eigentümer des belasteten Grundstücks hinterlassen habe, verpflichtet das Grundbuchamt nicht, das Pfandrecht von Amtes wegen zu löschen.</w:t>
      </w:r>
    </w:p>
    <w:p>
      <w:r>
        <w:t>Regeste Registre foncier; radiation de l'inscription d'une hypothèque. L'existence d'un document dans lequel il est constaté que la personne en faveur de laquelle a été constituée l'hypothèque est décédée et a laissé pour seul héritier le propriétaire de l'immeuble hypothéqué n'oblige pas le conservateur du registre foncier à radier d'office le gage immobilier.</w:t>
      </w:r>
    </w:p>
    <w:p>
      <w:r>
        <w:t>Regesto Registro fondiario; cancellazione dell'iscrizione di un'ipoteca. L'esistenza di un documento nel quale è accertato che la persona a favore della quale l'ipoteca è stata costituita è deceduta ed ha lasciato quale unico erede il proprietario dell'immobile ipotecato non obbliga l'ufficiale del registro fondiario a cancellare d'ufficio il pegno immobiliare.</w:t>
      </w:r>
    </w:p>
    <w:p>
      <w:pPr>
        <w:pStyle w:val="Heading2"/>
      </w:pPr>
      <w:r>
        <w:t>Erwägungen</w:t>
      </w:r>
    </w:p>
    <w:p>
      <w:r>
        <w:rPr>
          <w:b/>
        </w:rPr>
        <w:t>E. 1</w:t>
      </w:r>
    </w:p>
    <w:p>
      <w:r>
        <w:t>Zur Erhebung einer Verwaltungsgerichtsbeschwerde ist unter anderem berechtigt, wer durch die angefochtene Verfügung berührt ist und ein schutzwürdiges Interesse an deren Aufhebung oder Änderung hat ( Art. 103 lit. a OG ). Der Beschwerdeführer hat insofern ein schutzwürdiges Interesse, als die von ihm angestrebte Löschung der Grundpfandverschreibung von Amtes wegen gebührenfrei ist (§ 51 a lit. A der baselstädtischen Verordnung zum EG zum ZGB), wogegen für die Löschung auf Anmeldung hin eine Gebühr von 20 Franken erhoben wird (§ 51 lit. D Ziff. 3 der genannten Verordnung). Auf die Beschwerde ist demnach einzutreten.</w:t>
      </w:r>
    </w:p>
    <w:p>
      <w:r>
        <w:rPr>
          <w:b/>
        </w:rPr>
        <w:t>E. 2</w:t>
      </w:r>
    </w:p>
    <w:p>
      <w:r>
        <w:t>Wie das Eidgenössische Justiz- und Polizeidepartement in seiner Vernehmlassung zutreffend hervorhebt, beruht das schweizerische Grundbuchsystem auf dem Antragsprinzip; der Grundbuchverwalter handelt nur ausnahmsweise von Amtes wegen (vgl. Art. 11 in Verbindung mit Art. 61 GBV ). Bezüglich der Löschung ist dies für Fälle vorgesehen, da sich aus dem Grundbuch selbst ergibt, dass ein Eintrag seine rechtliche Bedeutung verloren hat. So sind von Amtes wegen zu löschen: Vormerkungen persönlicher Rechte, wenn die angegebene Zeit abgelaufen ist ( Art. 72 Abs. 1 GBV ); vorgemerkte Vorkaufs-, Rückkaufs- oder Kaufsrechte, wenn der Berechtigte Eigentümer des Grundstücks geworden ist ( Art. 72 Abs. 2 GBV ); die Vormerkung einer vorläufigen Eintragung, wenn die entsprechende definitive Eintragung vorgenommen wird oder wenn die vom BGE 104 Ib 257 S. 259 Grundbuchverwalter oder vom Richter für deren Anmeldung festgesetzte Frist unbenützt abgelaufen ist ( Art. 76 Abs. 1 GBV ); Dienstbarkeiten, die zu Lasten des einen und zugunsten des andern von zu vereinigenden Grundstücken bestehen ( Art. 92 Abs. 2 GBV ). Das gleiche gilt bei persönlichen Dienstbarkeiten dann, wenn der Tod des daraus Berechtigten, beispielsweise eines Nutzniessers oder eines Wohnberechtigten, feststeht. Der Beschwerdeführer anerkennt, dass es angesichts der allgemeinen Bestimmung des Art. 964 ZGB und des Art. 826 ZGB zur Löschung einer Grundpfandverschreibung grundsätzlich auch bei Untergang der Pfandforderung einer schriftlichen Erklärung des Gläubigers bedürfe, hält aber dafür, die Besonderheiten bei der Vereinigung von Schuldner- und Gläubigerstellung durch Erbgang rechtfertigten eine Ausnahme. Er stützt sich vorab auf Art. 963 Abs. 2 ZGB , wonach für eine Grundbucheintragung keine Erklärung des Eigentümers des Grundstücks erforderlich ist, wenn der Erwerber sich auf eine Gesetzesvorschrift, auf ein rechtskräftiges Urteil oder auf eine dem Urteil gleichwertige Urkunde zu berufen vermag. Ob diese Bestimmung sich auf gewisse Löschungen sinngemäss anwenden lasse, ist angesichts des Art. 964 ZGB zweifelhaft, kann aber hier dahingestellt bleiben. Die Frage ist nämlich jedenfalls hinsichtlich der Löschung der strittigen Grundpfandverschreibung zu verneinen. Wie der Beschwerdeführer selbst einräumt, geht aus dem Grundbuch nicht in zuverlässiger Weise hervor, wer bei einer Grundpfandverschreibung der jeweilige Gläubiger ist. Wohl steht es diesem zu, sich ins Gläubigerregister aufnehmen zu lassen, doch kommt einem solchen Vermerk keine Grundbuchwirkung zu, zumal die Forderung ohne Anzeige an das Grundbuchamt gültig abgetreten werden kann ( Art. 835 ZGB ; BGE 87 III 69 unten mit Hinweisen). Andererseits braucht die Person des Eigentümers des verpfändeten Grundstücks nicht mit derjenigen des Schuldners der Pfandforderung übereinzustimmen ( Art. 824 Abs. 2 ZGB ). Eine Vereinigung, wie sie der Beschwerdeführer geltend macht, lässt sich dem Grundbuch somit nicht schlüssig entnehmen. Entgegen der in der Beschwerde vertretenen Auffassung besteht also ein rechtlich erheblicher Unterschied zwischen einer Personalservitut und der Grundpfandverschreibung. Dass B.X. im Zeitpunkt ihres Todes Gläubigerin und der Beschwerdeführer Schuldner der durch die strittige Grundpfandverschreibung BGE 104 Ib 257 S. 260 gesicherten Forderung gewesen seien, geht zwar - allerdings nur indirekt - aus der vom Vertreter des Beschwerdeführers am 16. August 1977 errichteten Urkunde hervor, doch fehlt darin die Feststellung, der Beschwerdeführer habe die Erbschaft angenommen, d.h. nicht ausgeschlagen. Des weitern beruft sich der Beschwerdeführer auf Art. 656 Abs. 2 ZGB , wonach der Erwerber eines Grundstücks bei Aneignung, Erbgang, Enteignung, Zwangsvollstreckung oder richterlichem Urteil schon vor der Grundbucheintragung das Eigentum erlangt, jedoch im Grundbuch über das Grundstück erst nach der Eintragung verfügen kann. Da diese Bestimmung indessen den Erwerb des Eigentums an einem Grundstück, und nicht ein Pfandrecht an einem solchen, betrifft, insbesondere nicht die hier zu beurteilenden Verhältnisse bei der Grundpfandverschreibung regelt, kann sie entgegen der Auffassung des Beschwerdeführers nicht den Art. 801 und 826 ZGB vorgehen. Auch dieser Hinweis ist mithin unbehelflich.</w:t>
      </w:r>
    </w:p>
    <w:p>
      <w:r>
        <w:rPr>
          <w:b/>
        </w:rPr>
        <w:t>E. 3</w:t>
      </w:r>
    </w:p>
    <w:p>
      <w:r>
        <w:t>Der Beschwerdeführer macht geltend, das Grundbuchamt habe ihn als Gläubiger anerkannt und die einschlägigen Register entsprechend nachgeführt; das Amt habe im übrigen erklärt, es würde die verlangte Löschung mit seiner schriftlichen Einwilligung ohne weiteres vollziehen; es sei unter diesen Umständen nicht einzusehen, weshalb sich das Grundbuchamt weigere, dies von Amtes wegen zu tun, zumal bei einer ungerechtfertigten Löschung dem wirklichen Berechtigten so oder so die Grundbuchberichtigungsklage zu Gebote stünde. Letzterem ist durchaus beizupflichten. Das Beharren auf einer Erklärung des Gläubigers ist jedoch aus der Sicht der Verantwortlichkeit geboten, kann doch dem Grundbuchamt eine ungerechtfertigte Löschung einer Grundpfandverschreibung unter den gegebenen Verhältnissen nur dann nicht zum Vorwurf gemacht werden, wenn eine Bewilligung des - tatsächlichen oder vermeintlichen - Gläubigers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