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68</w:t>
      </w:r>
    </w:p>
    <w:p>
      <w:r>
        <w:t>Bundesgericht (BGE), 1978-01-01, DE</w:t>
      </w:r>
    </w:p>
    <w:p>
      <w:r>
        <w:rPr>
          <w:b/>
        </w:rPr>
        <w:t xml:space="preserve">Quelle: </w:t>
      </w:r>
      <w:r>
        <w:t>https://mcp.opencaselaw.ch/entscheid/bge_BGE_104_IV_68</w:t>
      </w:r>
    </w:p>
    <w:p>
      <w:r>
        <w:t>FR: ATF 104 IV 68</w:t>
      </w:r>
    </w:p>
    <w:p>
      <w:r>
        <w:t>IT: DTF 104 IV 68</w:t>
      </w:r>
    </w:p>
    <w:p>
      <w:pPr>
        <w:pStyle w:val="Heading2"/>
      </w:pPr>
      <w:r>
        <w:t>Regeste</w:t>
      </w:r>
    </w:p>
    <w:p>
      <w:r>
        <w:t>Regeste 1. Art. 269 BStP. Die Vereinigung von Nichtigkeitsbeschwerde und staatsrechtlicher Beschwerde in einer gemeinsamen Eingabe ist nur zulässig, wenn beide Rechtsmittel hinsichtlich Antrag und Begründung klar auseinandergehalten werden (Erw. 2). 2. Art. 271 Abs. 1 BStP, Art. 58 und Art. 60 StGB. a) Eine auf den Zivilweg verwiesene adhäsionsweise geltend gemachte Schadenersatzforderung ist nicht mit der Strafklage "beurteilt" (Erw. 3b). b) Die Einziehung von Verbrechensgut zuhanden des Staates gemäss Art. 58 StGB wird nicht zur Befriedigung eines Zivilanspruchs verhängt (Erw. 3c). c) Ein auf Art. 60 StGB gestütztes Begehren des Geschädigten betrifft keinen Zivilanspruch (Erw. 3d).</w:t>
      </w:r>
    </w:p>
    <w:p>
      <w:r>
        <w:t>Regeste 1. Art. 269 PPF. La réunion dans un même acte d'un pourvoi en nullité et d'un recours de droit public n'est admissible que si les deux voies de droit sont clairement séparées, tant en ce qui concerne les motivations que les conclusions (consid. 2). 2. Art. 271 al. 1 PPF, art. 58 et art. 60 CP. a) Lorsque la partie civile a été renvoyée à agir devant le juge civil, les conclusions qu'elle a prises n'ont pas été "jugées" en même temps que l'action pénale (consid. 3 litt. b). b) La confiscation au profit de l'Etat des biens acquis au moyen de l'infraction, au sens de l'art. 58 CP, n'a pas pour but de satisfaire une prétention civile (consid. 3 litt. c). c) La requête que le lésé présente en se fondant sur l'art. 60 CP ne constitue pas une prétention civile (consid. 3 litt. d).</w:t>
      </w:r>
    </w:p>
    <w:p>
      <w:r>
        <w:t>Regesto 1. Art. 269 PP. La riunione in uno stesso atto di un ricorso per cassazione e di un ricorso di diritto pubblico è consentita soltanto ove i due rimedi di diritto siano chiaramente separati sia per quanto concerne le conclusioni, sia per quanto concerne le motivazioni (consid. 2). 2. Art. 271 cpv. 1 PP, art. 58 e art. 60 CP. a) Ove la parte civile sia stata rinviata avanti il giudice civile, la sua azione civile per risarcimento del danno non è stata "giudicata" insieme con l'azione penale (consid. 3b). b) La confisca a favore dello Stato di beni che costituiscono il prodotto di un reato, ai sensi dell'art. 58 CP, non è destinata al soddisfacimento di una pretesa di diritto civile (consid. 3c). c) Una domanda del danneggiato fondata sull'art. 60 CP non ha per oggetto una pretesa di diritto civile (consid. 3d).</w:t>
      </w:r>
    </w:p>
    <w:p>
      <w:pPr>
        <w:pStyle w:val="Heading2"/>
      </w:pPr>
      <w:r>
        <w:t>Erwägungen</w:t>
      </w:r>
    </w:p>
    <w:p>
      <w:r>
        <w:rPr>
          <w:b/>
        </w:rPr>
        <w:t>E. 1</w:t>
      </w:r>
    </w:p>
    <w:p>
      <w:r>
        <w:t>Die Beschwerdeführerinnen möchten die Natur des Rechtsmittels als Nichtigkeitsbeschwerde oder staatsrechtliche Beschwerde von der Frage ihrer Legitimation zur einen oder zur andern Beschwerde abhängig machen. Damit übersehen sie jedoch, dass notwendig zunächst die Frage entschieden werden muss, welcher Art das Rechtsmittel seinem Inhalt nach ist, und dass erst dann diejenige nach der Befugnis der Beschwerdeführerinnen zur Ergreifung des betreffenden Rechtsmittels entschieden werden kann.</w:t>
      </w:r>
    </w:p>
    <w:p>
      <w:r>
        <w:rPr>
          <w:b/>
        </w:rPr>
        <w:t>E. 2</w:t>
      </w:r>
    </w:p>
    <w:p>
      <w:r>
        <w:t>Die Eingabe der Beschwerdeführerinnen ist nacheinander als Nichtigkeitsbeschwerde und als staatsrechtliche Beschwerde bezeichnet. In der Begründung wird jedoch unter anderem eine Verletzung von Art. 58 und 60 StGB gerügt. Da die Anwendung dieser Bestimmungen vom Bundesgericht im Verfahren auf Nichtigkeitsbeschwerde überprüft werden kann, enthält die Eingabe insoweit eine Rüge, die ihre Bezeichnung als Nichtigkeitsbeschwerde rechtfertigt. Daneben enthält sie freilich auch Vorbringen, die Gegenstand einer staatsrechtlichen Beschwerde bilden könnten. Da jedoch Nichtigkeits- und staatsrechtliche Beschwerde zwei selbständige Rechtsmittel sind, die - sowohl was die Form der Einreichung als die gerichtliche Beurteilung betrifft - unterschiedlichen Verfahrensregeln unterliegen, können sie nicht in ein und derselben Eingabe vereinigt werden. Vom Erfordernis getrennter Eingaben kann nur dann eine Ausnahme gemacht werden, wenn die verschiedenen Rechtsmittel in der Rechtsschrift nach Antrag und Begründung äusserlich klar in getrennten Abschnitten auseinandergehalten werden ( BGE 101 IV 248 ). Das ist hier nicht der Fall. Da die staatsrechtliche Beschwerde im Verhältnis zur Nichtigkeitsbeschwerde subsidiären Charakter hat ( Art. 84 BGE 104 IV 68 S. 71 Abs. 2 OG ), sind deshalb die Rügen der Verletzung von Art. 4 BV und der Eigentumsgarantie nicht zu hören.</w:t>
      </w:r>
    </w:p>
    <w:p>
      <w:r>
        <w:rPr>
          <w:b/>
        </w:rPr>
        <w:t>E. 3</w:t>
      </w:r>
    </w:p>
    <w:p>
      <w:r>
        <w:t>Ist somit die Eingabe als Nichtigkeitsbeschwerde entgegenzunehmen, stellt sich nunmehr die Frage, ob die Beschwerdeführerinnen als Geschädigte in diesem Verfahren die Verletzung von Art. 58 und 60 StGB rügen können. Das ist aus verschiedenen Gründen zu verneinen. a) Als Privatstrafklägerinnen gemäss Art. 270 Abs. 3 BStP steht ihnen die Nichtigkeitsbeschwerde nicht zu, weil sie vor Geschworenengericht nicht allein, ohne Beteiligung der Staatsanwaltschaft die Anklage vertreten haben. b) Soweit die Nichtigkeitsbeschwerde nach Art. 271 BStP in Frage steht, ist sie schon deswegen nicht gegeben, weil die Beschwerdeführerinnen den Entscheid des Geschworenengerichtes im fraglichen Punkte nur insoweit anfechten, als damit ein Teil ihres "Schadenersatzbegehrens" auf den Zivilweg verwiesen wurde. Nach Art. 271 Abs. 1 BStP kann nämlich der Geschädigte die Nichtigkeitsbeschwerde wegen des Zivilanspruchs nur ergreifen, sofern dieser zusammen mit der Strafklage "beurteilt" worden ist. Wo jedoch der Strafrichter ein adhäsionsweise geltend gemachtes Begehren auf den Zivilweg verweist, beurteilt er es gerade nicht, sondern stellt es dem Geschädigten anheim, sein Begehren beim zuständigen Zivilrichter anhängig zu machen (vgl. auch BGE 96 I 633 ). c) Sodann betrifft, was die Beschwerdeführerinnen mit dem Hinweis auf Art. 58 StGB geltend machen, gar keine Zivilforderung, sondern eine Massnahme, die um der öffentlichen Ordnung und Sittlichkeit willen und nicht im Hinblick auf die Befriedigung eines vom Geschädigten geltend gemachten Zivilanspruchs verhängt wird ( BGE 91 IV 168 und das nicht veröffentlichte Urteil des Kassationshofes vom 29. März 1977 i.S. M. und Kons.). d) Schliesslich wird auch mit der Berufung auf Art. 60 StGB keine Zivilforderung geltend gemacht. Bei dem Begehren eines Geschädigten gemäss Art. 60 StGB handelt es sich um ein solches aus öffentlichem Recht, was die Beschwerde nach Art. 271 BStP ausschliesst ( BGE 89 IV 173 und das vorgenannte nicht veröffentlichte Urteil).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