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40</w:t>
      </w:r>
    </w:p>
    <w:p>
      <w:r>
        <w:t>Bundesgericht (BGE), 1977-06-03, DE</w:t>
      </w:r>
    </w:p>
    <w:p>
      <w:r>
        <w:rPr>
          <w:b/>
        </w:rPr>
        <w:t xml:space="preserve">Quelle: </w:t>
      </w:r>
      <w:r>
        <w:t>https://mcp.opencaselaw.ch/entscheid/bge_BGE_104_IV_40</w:t>
      </w:r>
    </w:p>
    <w:p>
      <w:r>
        <w:t>FR: ATF 104 IV 40</w:t>
      </w:r>
    </w:p>
    <w:p>
      <w:r>
        <w:t>IT: DTF 104 IV 40</w:t>
      </w:r>
    </w:p>
    <w:p>
      <w:pPr>
        <w:pStyle w:val="Heading2"/>
      </w:pPr>
      <w:r>
        <w:t>Regeste</w:t>
      </w:r>
    </w:p>
    <w:p>
      <w:r>
        <w:t>Regeste Art. 19 Ziff. 1 Abs. 4 und 6 BetmG. Wann sind Anstalten zum unbefugten Verkauf von Betäubungsmitteln gegeben?</w:t>
      </w:r>
    </w:p>
    <w:p>
      <w:r>
        <w:t>Regeste Art. 19 ch. 1 al. 4 et 6 LStup. Quand peut-on dire que des mesures sont prises en vue d'un trafic illicite de stupéfiants?</w:t>
      </w:r>
    </w:p>
    <w:p>
      <w:r>
        <w:t>Regesto Art. 19 n. 1 cpv. 4 e 6 LS. Nozione di preparativi per una vendita illecita di stupefacenti.</w:t>
      </w:r>
    </w:p>
    <w:p>
      <w:pPr>
        <w:pStyle w:val="Heading2"/>
      </w:pPr>
      <w:r>
        <w:t>Erwägungen</w:t>
      </w:r>
    </w:p>
    <w:p>
      <w:r>
        <w:rPr>
          <w:b/>
        </w:rPr>
        <w:t>E. 1</w:t>
      </w:r>
    </w:p>
    <w:p>
      <w:r>
        <w:t>Gemäss Art. 19 Ziff. 1 Abs. 4 in Verbindung mit Abs. 6 BetmG wird u.a. bestraft, wer Anstalten zum unbefugten Verkauf von Betäubungsmitteln trifft. Mit der Beschwerdeführerin ist davon auszugehen, dass blosse Absichten und Pläne den gesetzlichen Tatbestand nicht erfüllen, sondern dass es hiefür bestimmter Handlungen bedarf, die im Zusammenhang mit einem beabsichtigten Verkauf stehen. Es genügt daher nicht, dass der Täter zunächst für den Eigenkonsum Betäubungsmittel erwirbt und sich später überlegt, ob und wie er einen Teil davon verkaufen kann. Ebensowenig reicht aus, dass jemand, der in den Rauschgifthandel einsteigen will, nur in Gedanken die Möglichkeiten prüft, die Drogen zu erwerben und Abnehmer zu finden. Verbinden sich aber diese Absichten mit Handlungen - erkundigt sich der Täter etwa nach Bezugsquellen, prüft er die Art der Grenzkontrollen, nimmt er Kontakt zum Drogenmilieu auf etc. -, so erfüllt jede dieser mit der Absicht eines späteren Drogenverkaufs begangenen Handlungen den erwähnten gesetzlichen Tatbestand. Diese Voraussetzungen sind im vorliegenden Sachverhalt, wie er von der Vorinstanz verbindlich festgestellt worden ist, offensichtlich gegeben: Die Beschwerdeführerin hat sich nicht mit blossen Überlegungen und Absichten begnügt; auch hat sie nicht etwa lediglich zum Eigenkonsum erworbenes LSD nachträglich abzusetzen beabsichtigt. Vielmehr begab sie sich mit dem Plan nach London, dort eine grosse Menge LSD zu kaufen, diese anschliessend in die Schweiz zu schmuggeln und BGE 104 IV 40 S. 42 hier zu verkaufen. Dann überlegte sie sich im Hinblick auf den Einstandspreis und ihre eigenen Schulden, wie hoch der Verkaufspreis festzusetzen sei. Daraufhin schmuggelte sie die Ware in die Schweiz, wo sie sie plangemäss portionenweise verkaufen wollte. Bei dieser Sachlage hat die Vorinstanz ohne Rechtsverletzung angenommen, dass die Beschwerdeführerin Anstalten zum Verkauf von LSD getroffen hatte.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